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576DF6" w14:paraId="1C136821" w14:textId="77777777" w:rsidTr="00D25CB4">
        <w:tc>
          <w:tcPr>
            <w:tcW w:w="4786" w:type="dxa"/>
            <w:hideMark/>
          </w:tcPr>
          <w:p w14:paraId="13A96413" w14:textId="77777777" w:rsidR="007E1D85" w:rsidRPr="000D3886" w:rsidRDefault="007E1D85" w:rsidP="00FB755E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14:paraId="6470F4E8" w14:textId="77777777" w:rsidR="00523D82" w:rsidRPr="00576DF6" w:rsidRDefault="00523D82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576DF6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5C705779" w14:textId="77777777" w:rsidR="00653617" w:rsidRPr="00576DF6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576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76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5CD8AC13" w14:textId="77777777" w:rsidR="00523D82" w:rsidRPr="00576DF6" w:rsidRDefault="00264A6E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576D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123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 и фармацевтического контроля</w:t>
            </w:r>
          </w:p>
          <w:p w14:paraId="7F4E3D0D" w14:textId="77777777" w:rsidR="00523D82" w:rsidRPr="00576DF6" w:rsidRDefault="00523D82" w:rsidP="0078568D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76D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576DF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778907FE" w14:textId="77777777" w:rsidR="00523D82" w:rsidRPr="00576DF6" w:rsidRDefault="00523D82" w:rsidP="0078568D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76D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576D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7042A324" w14:textId="77777777" w:rsidR="000D3886" w:rsidRPr="000D3886" w:rsidRDefault="000D3886" w:rsidP="000D38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Pr="000D3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05»  08</w:t>
            </w:r>
            <w:proofErr w:type="gramEnd"/>
            <w:r w:rsidRPr="000D3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2025 г.</w:t>
            </w:r>
          </w:p>
          <w:p w14:paraId="4BC54BFC" w14:textId="47799FE0" w:rsidR="00523D82" w:rsidRPr="00576DF6" w:rsidRDefault="000D3886" w:rsidP="000D388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0D3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№N087953</w:t>
            </w:r>
          </w:p>
        </w:tc>
        <w:tc>
          <w:tcPr>
            <w:tcW w:w="4536" w:type="dxa"/>
          </w:tcPr>
          <w:p w14:paraId="6B00E30D" w14:textId="77777777" w:rsidR="00523D82" w:rsidRPr="00576DF6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576DF6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576DF6" w14:paraId="2C244389" w14:textId="77777777" w:rsidTr="00D25CB4">
        <w:tc>
          <w:tcPr>
            <w:tcW w:w="4786" w:type="dxa"/>
          </w:tcPr>
          <w:p w14:paraId="2F8E7DF3" w14:textId="77777777" w:rsidR="00523D82" w:rsidRPr="00576DF6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882A374" w14:textId="77777777" w:rsidR="00523D82" w:rsidRPr="00576DF6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16C55A42" w14:textId="77777777" w:rsidR="00523D82" w:rsidRPr="00576DF6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063FA308" w14:textId="77777777" w:rsidR="00D76048" w:rsidRPr="00576DF6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6DF6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525E2F97" w14:textId="77777777" w:rsidR="00372082" w:rsidRPr="00576DF6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548ADA" w14:textId="77777777" w:rsidR="00280121" w:rsidRPr="0067075A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67075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="00280121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67075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="00280121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67075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14:paraId="005F7C41" w14:textId="77777777" w:rsidR="001872CE" w:rsidRPr="0067075A" w:rsidRDefault="00FB755E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Дутабит</w:t>
      </w:r>
      <w:proofErr w:type="spellEnd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Плюс, капсулы</w:t>
      </w:r>
      <w:r w:rsidR="00104C18" w:rsidRPr="0067075A">
        <w:rPr>
          <w:rFonts w:ascii="Times New Roman" w:eastAsia="Times New Roman" w:hAnsi="Times New Roman"/>
          <w:sz w:val="24"/>
          <w:szCs w:val="24"/>
          <w:lang w:eastAsia="ru-RU"/>
        </w:rPr>
        <w:t>, 0.5</w:t>
      </w:r>
      <w:r w:rsidR="00594FAB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мг</w:t>
      </w:r>
      <w:r w:rsidR="00104C18" w:rsidRPr="0067075A">
        <w:rPr>
          <w:rFonts w:ascii="Times New Roman" w:eastAsia="Times New Roman" w:hAnsi="Times New Roman"/>
          <w:sz w:val="24"/>
          <w:szCs w:val="24"/>
          <w:lang w:eastAsia="ru-RU"/>
        </w:rPr>
        <w:t>/0.4 мг</w:t>
      </w:r>
    </w:p>
    <w:p w14:paraId="6A2E7FC9" w14:textId="77777777" w:rsidR="00B01011" w:rsidRPr="0067075A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E93F5F" w14:textId="77777777" w:rsidR="003C07E3" w:rsidRPr="0067075A" w:rsidRDefault="003C07E3" w:rsidP="0078568D">
      <w:pPr>
        <w:spacing w:after="0" w:line="240" w:lineRule="auto"/>
        <w:jc w:val="both"/>
        <w:rPr>
          <w:sz w:val="24"/>
          <w:szCs w:val="24"/>
        </w:rPr>
      </w:pPr>
      <w:bookmarkStart w:id="0" w:name="2175220285"/>
      <w:bookmarkStart w:id="1" w:name="OCRUncertain022"/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5330E4AB" w14:textId="77777777" w:rsidR="001872CE" w:rsidRPr="0067075A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2.1 Общее описание</w:t>
      </w:r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15C16710" w14:textId="77777777" w:rsidR="004A6599" w:rsidRPr="0067075A" w:rsidRDefault="004A6599" w:rsidP="004A6599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bookmarkStart w:id="2" w:name="2175220286"/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2.2 Качественный и количественный состав</w:t>
      </w:r>
    </w:p>
    <w:p w14:paraId="379B9CB7" w14:textId="77777777" w:rsidR="004A6599" w:rsidRPr="0067075A" w:rsidRDefault="004A6599" w:rsidP="004A6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>Одна капсула содержит:</w:t>
      </w:r>
    </w:p>
    <w:p w14:paraId="67D7F264" w14:textId="77777777" w:rsidR="004A6599" w:rsidRPr="0067075A" w:rsidRDefault="004A6599" w:rsidP="004A6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активные </w:t>
      </w:r>
      <w:proofErr w:type="gramStart"/>
      <w:r w:rsidRPr="0067075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вещества:  </w:t>
      </w:r>
      <w:proofErr w:type="spellStart"/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>дутастерид</w:t>
      </w:r>
      <w:proofErr w:type="spellEnd"/>
      <w:proofErr w:type="gramEnd"/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0.500 мг, </w:t>
      </w:r>
    </w:p>
    <w:p w14:paraId="627AE554" w14:textId="77777777" w:rsidR="004A6599" w:rsidRPr="0067075A" w:rsidRDefault="004A6599" w:rsidP="004A6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</w:t>
      </w:r>
      <w:proofErr w:type="spellStart"/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 0.400 мг;</w:t>
      </w:r>
    </w:p>
    <w:p w14:paraId="1FBCC326" w14:textId="77777777" w:rsidR="004A6599" w:rsidRPr="0067075A" w:rsidRDefault="004A6599" w:rsidP="004A6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Вспомогательные вещества, наличие которых надо учитывать в составе лекарственного препарата: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бутилгидрокситолуол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(Е 321) 0.035 мг, </w:t>
      </w:r>
      <w:bookmarkStart w:id="3" w:name="_Hlk69738924"/>
      <w:r w:rsidRPr="0067075A">
        <w:rPr>
          <w:rFonts w:ascii="Times New Roman" w:hAnsi="Times New Roman"/>
          <w:iCs/>
          <w:sz w:val="24"/>
          <w:szCs w:val="24"/>
          <w:lang w:eastAsia="ru-RU"/>
        </w:rPr>
        <w:t>солнечный закат желтый (FCF) (FD&amp;C желтый №6) (Е 110)</w:t>
      </w:r>
      <w:bookmarkEnd w:id="3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0.0333 мг</w:t>
      </w:r>
      <w:r w:rsidR="008C47D6" w:rsidRPr="0067075A">
        <w:rPr>
          <w:rFonts w:ascii="Times New Roman" w:hAnsi="Times New Roman"/>
          <w:iCs/>
          <w:sz w:val="24"/>
          <w:szCs w:val="24"/>
          <w:lang w:eastAsia="ru-RU"/>
        </w:rPr>
        <w:t>, калия хлорид 1.905 мг, калия гидроксид 0.05 - 0.1 %</w:t>
      </w:r>
      <w:r w:rsidRPr="0067075A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27975768" w14:textId="77777777" w:rsidR="004A6599" w:rsidRPr="0067075A" w:rsidRDefault="004A6599" w:rsidP="004A6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67075A">
        <w:rPr>
          <w:rFonts w:ascii="Times New Roman" w:hAnsi="Times New Roman"/>
          <w:sz w:val="24"/>
          <w:szCs w:val="24"/>
          <w:lang w:eastAsia="ru-RU"/>
        </w:rPr>
        <w:t>.</w:t>
      </w:r>
    </w:p>
    <w:p w14:paraId="7400F902" w14:textId="77777777" w:rsidR="00B7231F" w:rsidRPr="0067075A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2"/>
    <w:p w14:paraId="645DC5D3" w14:textId="77777777" w:rsidR="00B7231F" w:rsidRPr="0067075A" w:rsidRDefault="00036E2A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Капсулы.</w:t>
      </w:r>
    </w:p>
    <w:p w14:paraId="7C7B127B" w14:textId="77777777" w:rsidR="00036E2A" w:rsidRPr="0067075A" w:rsidRDefault="00C67789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bookmarkStart w:id="4" w:name="_Hlk68169188"/>
      <w:r w:rsidRPr="0067075A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Твердые целлюлозные капсулы размером «00» с непрозрачной оранжевой крышкой, с отпечатанной черными чернилами надписью «DTT», и непрозрачным коричневым корпусом, с отпечатанной черными чернилами надписью «0.5/0.4», содержащими одну мягкую желатиновую капсулу </w:t>
      </w:r>
      <w:proofErr w:type="spellStart"/>
      <w:r w:rsidRPr="0067075A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и гранулы </w:t>
      </w:r>
      <w:proofErr w:type="spellStart"/>
      <w:r w:rsidRPr="0067075A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гидрохлорида от белого до почти белого цвета.</w:t>
      </w:r>
    </w:p>
    <w:bookmarkEnd w:id="4"/>
    <w:p w14:paraId="1880E8EE" w14:textId="77777777" w:rsidR="00C67789" w:rsidRPr="0067075A" w:rsidRDefault="00C67789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2474A9D6" w14:textId="77777777" w:rsidR="002C1660" w:rsidRPr="0067075A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2AA43323" w14:textId="77777777" w:rsidR="005444B2" w:rsidRPr="0067075A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6707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6707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6707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6707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784A889F" w14:textId="77777777" w:rsidR="00A65907" w:rsidRPr="0067075A" w:rsidRDefault="00A65907" w:rsidP="00A65907">
      <w:pPr>
        <w:tabs>
          <w:tab w:val="left" w:pos="8931"/>
        </w:tabs>
        <w:spacing w:after="0"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67075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0362D" w:rsidRPr="0067075A">
        <w:rPr>
          <w:rFonts w:ascii="Times New Roman" w:hAnsi="Times New Roman"/>
          <w:color w:val="000000"/>
          <w:sz w:val="24"/>
          <w:szCs w:val="24"/>
        </w:rPr>
        <w:t>л</w:t>
      </w:r>
      <w:r w:rsidRPr="0067075A">
        <w:rPr>
          <w:rFonts w:ascii="Times New Roman" w:hAnsi="Times New Roman"/>
          <w:color w:val="000000"/>
          <w:sz w:val="24"/>
          <w:szCs w:val="24"/>
        </w:rPr>
        <w:t>ечение умеренных и тяжелых симптомов доброкачественной гиперплазии предстательной железы (ДГПЖ)</w:t>
      </w:r>
    </w:p>
    <w:p w14:paraId="5E6843D4" w14:textId="77777777" w:rsidR="00A65907" w:rsidRPr="0067075A" w:rsidRDefault="00A65907" w:rsidP="00A65907">
      <w:pPr>
        <w:tabs>
          <w:tab w:val="left" w:pos="8931"/>
        </w:tabs>
        <w:spacing w:after="0"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67075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0362D" w:rsidRPr="0067075A">
        <w:rPr>
          <w:rFonts w:ascii="Times New Roman" w:hAnsi="Times New Roman"/>
          <w:color w:val="000000"/>
          <w:sz w:val="24"/>
          <w:szCs w:val="24"/>
        </w:rPr>
        <w:t>с</w:t>
      </w:r>
      <w:r w:rsidRPr="0067075A">
        <w:rPr>
          <w:rFonts w:ascii="Times New Roman" w:hAnsi="Times New Roman"/>
          <w:color w:val="000000"/>
          <w:sz w:val="24"/>
          <w:szCs w:val="24"/>
        </w:rPr>
        <w:t>нижение риска острой задержки мочи (ОЗМ) и хирургического вмешательства у пациентов с умеренными и тяжелыми симптомами ДГПЖ</w:t>
      </w:r>
    </w:p>
    <w:p w14:paraId="60FF16D2" w14:textId="77777777" w:rsidR="00A65907" w:rsidRPr="0067075A" w:rsidRDefault="00A65907" w:rsidP="00A65907">
      <w:pPr>
        <w:tabs>
          <w:tab w:val="left" w:pos="8931"/>
        </w:tabs>
        <w:spacing w:after="0"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B6B54" w14:textId="77777777" w:rsidR="006B3F4A" w:rsidRPr="0067075A" w:rsidRDefault="006B3F4A" w:rsidP="00A65907">
      <w:pPr>
        <w:tabs>
          <w:tab w:val="left" w:pos="8931"/>
        </w:tabs>
        <w:spacing w:after="0"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67075A">
        <w:rPr>
          <w:rFonts w:ascii="Times New Roman" w:hAnsi="Times New Roman"/>
          <w:color w:val="000000"/>
          <w:sz w:val="24"/>
          <w:szCs w:val="24"/>
        </w:rPr>
        <w:t>Для получения информации о влиянии лечения и группах пациентов, изученных в ходе клинических исследований, см. раздел 5.1.</w:t>
      </w:r>
    </w:p>
    <w:p w14:paraId="77F144B6" w14:textId="77777777" w:rsidR="005444B2" w:rsidRPr="0067075A" w:rsidRDefault="00832A7E" w:rsidP="00A65907">
      <w:pPr>
        <w:tabs>
          <w:tab w:val="left" w:pos="8931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 </w:t>
      </w:r>
    </w:p>
    <w:p w14:paraId="7DE5FA17" w14:textId="77777777" w:rsidR="00B7231F" w:rsidRPr="0067075A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2175220274"/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7AB84DD8" w14:textId="77777777" w:rsidR="00891EB8" w:rsidRPr="0067075A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5"/>
    <w:p w14:paraId="0B8F63AA" w14:textId="77777777" w:rsidR="0012055F" w:rsidRPr="0067075A" w:rsidRDefault="0012055F" w:rsidP="001205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>Взрослые (</w:t>
      </w:r>
      <w:r w:rsidR="00A65907"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>включая пациентов пожилого возраста</w:t>
      </w:r>
      <w:r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14:paraId="16EF1E8B" w14:textId="77777777" w:rsidR="0012055F" w:rsidRPr="0067075A" w:rsidRDefault="0012055F" w:rsidP="001205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Рекомендуемая доза </w:t>
      </w:r>
      <w:r w:rsidR="00123B06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Дутабит</w:t>
      </w:r>
      <w:proofErr w:type="spellEnd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Плюс </w:t>
      </w:r>
      <w:r w:rsidR="00A65907" w:rsidRPr="0067075A"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одна </w:t>
      </w:r>
      <w:r w:rsidR="00A65907" w:rsidRPr="0067075A">
        <w:rPr>
          <w:rFonts w:ascii="Times New Roman" w:eastAsia="Times New Roman" w:hAnsi="Times New Roman"/>
          <w:sz w:val="24"/>
          <w:szCs w:val="24"/>
          <w:lang w:eastAsia="ru-RU"/>
        </w:rPr>
        <w:t>капсула (0</w:t>
      </w:r>
      <w:r w:rsidR="008D57F7" w:rsidRPr="0067075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65907" w:rsidRPr="0067075A">
        <w:rPr>
          <w:rFonts w:ascii="Times New Roman" w:eastAsia="Times New Roman" w:hAnsi="Times New Roman"/>
          <w:sz w:val="24"/>
          <w:szCs w:val="24"/>
          <w:lang w:eastAsia="ru-RU"/>
        </w:rPr>
        <w:t>5 мг/0</w:t>
      </w:r>
      <w:r w:rsidR="008D57F7" w:rsidRPr="0067075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65907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4 мг) </w:t>
      </w: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раз в </w:t>
      </w:r>
      <w:r w:rsidR="00750656" w:rsidRPr="0067075A">
        <w:rPr>
          <w:rFonts w:ascii="Times New Roman" w:eastAsia="Times New Roman" w:hAnsi="Times New Roman"/>
          <w:sz w:val="24"/>
          <w:szCs w:val="24"/>
          <w:lang w:eastAsia="ru-RU"/>
        </w:rPr>
        <w:t>сутки</w:t>
      </w: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736D4C" w14:textId="77777777" w:rsidR="0012055F" w:rsidRPr="0067075A" w:rsidRDefault="00A65907" w:rsidP="001205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необходимости, двухкомпонентную терапию </w:t>
      </w:r>
      <w:proofErr w:type="spellStart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дутастеридом</w:t>
      </w:r>
      <w:proofErr w:type="spellEnd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гидрохлоридом можно заменить приемом лекарственного препарата </w:t>
      </w:r>
      <w:proofErr w:type="spellStart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Дутабит</w:t>
      </w:r>
      <w:proofErr w:type="spellEnd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Плюс, в целях упрощения лечения. </w:t>
      </w:r>
      <w:r w:rsidR="00123B06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клинической </w:t>
      </w: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необходимости</w:t>
      </w:r>
      <w:r w:rsidR="0012055F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, может быть рассмотрен </w:t>
      </w:r>
      <w:r w:rsidR="0012055F" w:rsidRPr="0067075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прямой переход с </w:t>
      </w:r>
      <w:proofErr w:type="spellStart"/>
      <w:r w:rsidR="0012055F" w:rsidRPr="0067075A">
        <w:rPr>
          <w:rFonts w:ascii="Times New Roman" w:eastAsia="Times New Roman" w:hAnsi="Times New Roman"/>
          <w:sz w:val="24"/>
          <w:szCs w:val="24"/>
          <w:lang w:eastAsia="ru-RU"/>
        </w:rPr>
        <w:t>монотерапии</w:t>
      </w:r>
      <w:proofErr w:type="spellEnd"/>
      <w:r w:rsidR="0012055F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2055F" w:rsidRPr="0067075A">
        <w:rPr>
          <w:rFonts w:ascii="Times New Roman" w:eastAsia="Times New Roman" w:hAnsi="Times New Roman"/>
          <w:sz w:val="24"/>
          <w:szCs w:val="24"/>
          <w:lang w:eastAsia="ru-RU"/>
        </w:rPr>
        <w:t>дутастеридом</w:t>
      </w:r>
      <w:proofErr w:type="spellEnd"/>
      <w:r w:rsidR="0012055F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proofErr w:type="spellStart"/>
      <w:r w:rsidR="0012055F" w:rsidRPr="0067075A">
        <w:rPr>
          <w:rFonts w:ascii="Times New Roman" w:eastAsia="Times New Roman" w:hAnsi="Times New Roman"/>
          <w:sz w:val="24"/>
          <w:szCs w:val="24"/>
          <w:lang w:eastAsia="ru-RU"/>
        </w:rPr>
        <w:t>тамсулозина</w:t>
      </w:r>
      <w:proofErr w:type="spellEnd"/>
      <w:r w:rsidR="0012055F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гидрохлорид</w:t>
      </w:r>
      <w:r w:rsidR="006865B1" w:rsidRPr="0067075A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12055F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терапию препаратом </w:t>
      </w:r>
      <w:proofErr w:type="spellStart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Дутабит</w:t>
      </w:r>
      <w:proofErr w:type="spellEnd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Плюс</w:t>
      </w:r>
      <w:r w:rsidR="0012055F" w:rsidRPr="006707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34DC4B" w14:textId="77777777" w:rsidR="009F5A85" w:rsidRPr="0067075A" w:rsidRDefault="00B21CF0" w:rsidP="004541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4FF40170" w14:textId="77777777" w:rsidR="005B081E" w:rsidRPr="0067075A" w:rsidRDefault="006B3F4A" w:rsidP="005B081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 xml:space="preserve">Пациенты с </w:t>
      </w:r>
      <w:r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="005B081E"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>очечн</w:t>
      </w:r>
      <w:r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>ой</w:t>
      </w:r>
      <w:r w:rsidR="005B081E"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недостаточность</w:t>
      </w:r>
      <w:r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>ю</w:t>
      </w:r>
    </w:p>
    <w:p w14:paraId="5EE7F782" w14:textId="77777777" w:rsidR="006B3F4A" w:rsidRPr="0067075A" w:rsidRDefault="006B3F4A" w:rsidP="005B08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Влияние нарушения функции почек на фармакокинетику комбинации </w:t>
      </w:r>
      <w:proofErr w:type="spellStart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дутастерид-тамсулозин</w:t>
      </w:r>
      <w:proofErr w:type="spellEnd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изучалось. Ожидается, что пациентам с нарушениями функции почек не требуется коррекция дозы </w:t>
      </w:r>
      <w:bookmarkStart w:id="6" w:name="_Hlk69737694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(см. разделы 4.4 и 5.2).</w:t>
      </w:r>
      <w:bookmarkEnd w:id="6"/>
    </w:p>
    <w:p w14:paraId="040F1D8F" w14:textId="77777777" w:rsidR="005B081E" w:rsidRPr="0067075A" w:rsidRDefault="006B3F4A" w:rsidP="005B081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>Пациенты с п</w:t>
      </w:r>
      <w:r w:rsidR="005B081E"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>еченочн</w:t>
      </w:r>
      <w:r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>ой</w:t>
      </w:r>
      <w:r w:rsidR="005B081E"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недостаточность</w:t>
      </w:r>
      <w:r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>ю</w:t>
      </w:r>
    </w:p>
    <w:p w14:paraId="52ED9691" w14:textId="77777777" w:rsidR="005B081E" w:rsidRPr="0067075A" w:rsidRDefault="006B3F4A" w:rsidP="005B08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Влияние нарушения функции печени на фармакокинетику комбинации </w:t>
      </w:r>
      <w:proofErr w:type="spellStart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дутастерида-тамсулозина</w:t>
      </w:r>
      <w:proofErr w:type="spellEnd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изучалось, поэтому следует соблюдать осторожность при применении препарата у пациентов с нарушениями функции печени от легкой до умеренной степени тяжести</w:t>
      </w:r>
      <w:r w:rsidR="00D0253E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разделы 4.4 и 5.2)</w:t>
      </w: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Прием лекарственного препарата </w:t>
      </w:r>
      <w:proofErr w:type="spellStart"/>
      <w:r w:rsidR="00D0253E" w:rsidRPr="0067075A">
        <w:rPr>
          <w:rFonts w:ascii="Times New Roman" w:eastAsia="Times New Roman" w:hAnsi="Times New Roman"/>
          <w:sz w:val="24"/>
          <w:szCs w:val="24"/>
          <w:lang w:eastAsia="ru-RU"/>
        </w:rPr>
        <w:t>Дутабит</w:t>
      </w:r>
      <w:proofErr w:type="spellEnd"/>
      <w:r w:rsidR="00D0253E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Плюс</w:t>
      </w: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противопоказан пациентам с тяжелой печеночной недостаточностью</w:t>
      </w:r>
      <w:r w:rsidR="00C86798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4.3)</w:t>
      </w:r>
      <w:r w:rsidR="005B081E" w:rsidRPr="006707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FB62B8A" w14:textId="77777777" w:rsidR="005B081E" w:rsidRPr="0067075A" w:rsidRDefault="005B081E" w:rsidP="005B081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i/>
          <w:sz w:val="24"/>
          <w:szCs w:val="24"/>
          <w:lang w:eastAsia="ru-RU"/>
        </w:rPr>
        <w:t>Дети</w:t>
      </w:r>
    </w:p>
    <w:p w14:paraId="0AB1386F" w14:textId="77777777" w:rsidR="006B3F4A" w:rsidRPr="0067075A" w:rsidRDefault="006B3F4A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Комбинация </w:t>
      </w:r>
      <w:proofErr w:type="spellStart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дутастерид-тамсулозин</w:t>
      </w:r>
      <w:proofErr w:type="spellEnd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противопоказана детям (в возрасте до 18 лет) (см. раздел 4.3).</w:t>
      </w:r>
    </w:p>
    <w:p w14:paraId="4BCEB1FF" w14:textId="77777777" w:rsidR="009F5A85" w:rsidRPr="0067075A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075A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538F5BE7" w14:textId="77777777" w:rsidR="006B3F4A" w:rsidRPr="0067075A" w:rsidRDefault="006B3F4A" w:rsidP="006B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Для приема внутрь</w:t>
      </w:r>
      <w:r w:rsidR="0046794E" w:rsidRPr="0067075A">
        <w:rPr>
          <w:rFonts w:ascii="Times New Roman" w:hAnsi="Times New Roman"/>
          <w:sz w:val="24"/>
          <w:szCs w:val="24"/>
        </w:rPr>
        <w:t>.</w:t>
      </w:r>
    </w:p>
    <w:p w14:paraId="3DC585B5" w14:textId="77777777" w:rsidR="006B3F4A" w:rsidRPr="0067075A" w:rsidRDefault="006B3F4A" w:rsidP="006B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Следует предупредить пациентов о необходимости приема целой капсулы, ежедневно, спустя около 30 минут после одного и того же приема пищи. Капсулы нельзя открывать или разжевывать. Контакт с содержимым капсулы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</w:rPr>
        <w:t>, находящимся внутри твердой оболочки капсулы, может вызвать раздражение слизистой оболочки рта и глотки.</w:t>
      </w:r>
    </w:p>
    <w:p w14:paraId="5DA753F5" w14:textId="77777777" w:rsidR="00615318" w:rsidRPr="0067075A" w:rsidRDefault="00615318" w:rsidP="0061531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4CCAB9" w14:textId="77777777" w:rsidR="007D0E84" w:rsidRPr="0067075A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580A0A8D" w14:textId="77777777" w:rsidR="00F85441" w:rsidRPr="0067075A" w:rsidRDefault="00F85441" w:rsidP="00F8544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- гиперчувствительность к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дутастериду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другим ингибиторам 5-альфа редуктазы,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тамсулозину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(включая пациентов с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</w:t>
      </w:r>
      <w:proofErr w:type="spellEnd"/>
      <w:r w:rsidRPr="0067075A">
        <w:rPr>
          <w:rFonts w:ascii="Times New Roman" w:hAnsi="Times New Roman"/>
          <w:sz w:val="24"/>
          <w:szCs w:val="24"/>
        </w:rPr>
        <w:t>-индуцированным ангионевротическим отеком), сое, арахису или к любому из вспомогательных веществ, перечисленных в разделе 6.1</w:t>
      </w:r>
    </w:p>
    <w:p w14:paraId="14439A11" w14:textId="77777777" w:rsidR="00F85441" w:rsidRPr="0067075A" w:rsidRDefault="00F85441" w:rsidP="00F8544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- женщины </w:t>
      </w:r>
      <w:r w:rsidRPr="0067075A">
        <w:rPr>
          <w:rFonts w:ascii="Times New Roman" w:hAnsi="Times New Roman"/>
          <w:iCs/>
          <w:sz w:val="24"/>
          <w:szCs w:val="24"/>
        </w:rPr>
        <w:t>(см. раздел 4.6)</w:t>
      </w:r>
    </w:p>
    <w:p w14:paraId="007A45A9" w14:textId="77777777" w:rsidR="00F85441" w:rsidRPr="0067075A" w:rsidRDefault="00F85441" w:rsidP="00F8544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- детский и подростковый возраст до 18 лет</w:t>
      </w:r>
    </w:p>
    <w:p w14:paraId="6DCF22CF" w14:textId="77777777" w:rsidR="00F85441" w:rsidRPr="0067075A" w:rsidRDefault="00F85441" w:rsidP="00F85441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075A">
        <w:rPr>
          <w:rFonts w:ascii="Times New Roman" w:hAnsi="Times New Roman"/>
          <w:iCs/>
          <w:sz w:val="24"/>
          <w:szCs w:val="24"/>
        </w:rPr>
        <w:t>- тяжелая степень печеночной недостаточности</w:t>
      </w:r>
    </w:p>
    <w:p w14:paraId="3E7744CE" w14:textId="77777777" w:rsidR="00F85441" w:rsidRPr="0067075A" w:rsidRDefault="00F85441" w:rsidP="00F8544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- приступы ортостатической гипотензии в анамнезе</w:t>
      </w:r>
    </w:p>
    <w:p w14:paraId="00975D8B" w14:textId="77777777" w:rsidR="00F2151A" w:rsidRPr="0067075A" w:rsidRDefault="00F2151A" w:rsidP="0078568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9EC54A5" w14:textId="77777777" w:rsidR="00B10089" w:rsidRPr="0067075A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67075A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0A780BCC" w14:textId="77777777" w:rsidR="00D674CA" w:rsidRPr="0067075A" w:rsidRDefault="00D674CA" w:rsidP="00D674C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7" w:name="_Hlk55294026"/>
      <w:r w:rsidRPr="0067075A">
        <w:rPr>
          <w:rFonts w:ascii="Times New Roman" w:hAnsi="Times New Roman"/>
          <w:iCs/>
          <w:sz w:val="24"/>
          <w:szCs w:val="24"/>
        </w:rPr>
        <w:t xml:space="preserve">Комбинированную терапию следует назначать после тщательной оценки соотношения пользы-риска, в связи с потенциальным повышенным риском развития нежелательных явлений (включая сердечную недостаточность), и после рассмотрения альтернативных вариантов лечения, включая </w:t>
      </w:r>
      <w:proofErr w:type="spellStart"/>
      <w:r w:rsidRPr="0067075A">
        <w:rPr>
          <w:rFonts w:ascii="Times New Roman" w:hAnsi="Times New Roman"/>
          <w:iCs/>
          <w:sz w:val="24"/>
          <w:szCs w:val="24"/>
        </w:rPr>
        <w:t>монотерапию</w:t>
      </w:r>
      <w:proofErr w:type="spellEnd"/>
      <w:r w:rsidRPr="0067075A">
        <w:rPr>
          <w:rFonts w:ascii="Times New Roman" w:hAnsi="Times New Roman"/>
          <w:iCs/>
          <w:sz w:val="24"/>
          <w:szCs w:val="24"/>
        </w:rPr>
        <w:t>.</w:t>
      </w:r>
    </w:p>
    <w:p w14:paraId="3A69457C" w14:textId="77777777" w:rsidR="00D674CA" w:rsidRPr="0067075A" w:rsidRDefault="00D674CA" w:rsidP="00D674CA">
      <w:pPr>
        <w:pStyle w:val="Style7"/>
        <w:spacing w:line="240" w:lineRule="auto"/>
        <w:jc w:val="both"/>
        <w:rPr>
          <w:i/>
          <w:lang w:bidi="ru-RU"/>
        </w:rPr>
      </w:pPr>
      <w:r w:rsidRPr="0067075A">
        <w:rPr>
          <w:i/>
          <w:lang w:bidi="ru-RU"/>
        </w:rPr>
        <w:t>Рак предстательной железы и опухоли высокой степени злокачественности</w:t>
      </w:r>
    </w:p>
    <w:p w14:paraId="739B7E9C" w14:textId="77777777" w:rsidR="00D674CA" w:rsidRPr="0067075A" w:rsidRDefault="00D674CA" w:rsidP="00D674CA">
      <w:pPr>
        <w:pStyle w:val="Style7"/>
        <w:spacing w:line="240" w:lineRule="auto"/>
        <w:jc w:val="both"/>
        <w:rPr>
          <w:iCs/>
          <w:lang w:bidi="ru-RU"/>
        </w:rPr>
      </w:pPr>
      <w:r w:rsidRPr="0067075A">
        <w:rPr>
          <w:iCs/>
          <w:lang w:bidi="ru-RU"/>
        </w:rPr>
        <w:t xml:space="preserve">В четырехлетнем многоцентровом, рандомизированном, двойном слепом, плацебо-контролируемом исследовании REDUCE изучалось влияние приема </w:t>
      </w:r>
      <w:proofErr w:type="spellStart"/>
      <w:r w:rsidRPr="0067075A">
        <w:rPr>
          <w:iCs/>
          <w:lang w:bidi="ru-RU"/>
        </w:rPr>
        <w:t>дутастерида</w:t>
      </w:r>
      <w:proofErr w:type="spellEnd"/>
      <w:r w:rsidRPr="0067075A">
        <w:rPr>
          <w:iCs/>
          <w:lang w:bidi="ru-RU"/>
        </w:rPr>
        <w:t xml:space="preserve"> в дозе 0.5 мг в сутки на пациентов с высоким риском рака предстательной железы (включая мужчин в возрасте от 50 до 75 лет с уровнем ПСА 2.5-10 </w:t>
      </w:r>
      <w:proofErr w:type="spellStart"/>
      <w:r w:rsidRPr="0067075A">
        <w:rPr>
          <w:iCs/>
          <w:lang w:bidi="ru-RU"/>
        </w:rPr>
        <w:t>нг</w:t>
      </w:r>
      <w:proofErr w:type="spellEnd"/>
      <w:r w:rsidRPr="0067075A">
        <w:rPr>
          <w:iCs/>
          <w:lang w:bidi="ru-RU"/>
        </w:rPr>
        <w:t xml:space="preserve">/мл и отрицательным результатом биопсии на рак предстательной железы, полученном за 6 месяцев до включения в исследование) по сравнению с плацебо. По результатам этого исследования установлена более высокая частота рака предстательной железы, в сумме баллов по шкале </w:t>
      </w:r>
      <w:proofErr w:type="spellStart"/>
      <w:r w:rsidRPr="0067075A">
        <w:rPr>
          <w:iCs/>
          <w:lang w:bidi="ru-RU"/>
        </w:rPr>
        <w:t>Глисона</w:t>
      </w:r>
      <w:proofErr w:type="spellEnd"/>
      <w:r w:rsidRPr="0067075A">
        <w:rPr>
          <w:iCs/>
          <w:lang w:bidi="ru-RU"/>
        </w:rPr>
        <w:t xml:space="preserve"> 8-10, у мужчин, получавших </w:t>
      </w:r>
      <w:proofErr w:type="spellStart"/>
      <w:r w:rsidRPr="0067075A">
        <w:rPr>
          <w:iCs/>
          <w:lang w:bidi="ru-RU"/>
        </w:rPr>
        <w:t>дутастерид</w:t>
      </w:r>
      <w:proofErr w:type="spellEnd"/>
      <w:r w:rsidRPr="0067075A">
        <w:rPr>
          <w:iCs/>
          <w:lang w:bidi="ru-RU"/>
        </w:rPr>
        <w:t xml:space="preserve"> (n = 29, 0.9%), по сравнению с плацебо (n = 19, 0.6%). Не понятна связь между приемом </w:t>
      </w:r>
      <w:proofErr w:type="spellStart"/>
      <w:r w:rsidRPr="0067075A">
        <w:rPr>
          <w:iCs/>
          <w:lang w:bidi="ru-RU"/>
        </w:rPr>
        <w:t>дутастерида</w:t>
      </w:r>
      <w:proofErr w:type="spellEnd"/>
      <w:r w:rsidRPr="0067075A">
        <w:rPr>
          <w:iCs/>
          <w:lang w:bidi="ru-RU"/>
        </w:rPr>
        <w:t xml:space="preserve"> и раком предстательной железы в сумме балов по шкале </w:t>
      </w:r>
      <w:proofErr w:type="spellStart"/>
      <w:r w:rsidRPr="0067075A">
        <w:rPr>
          <w:iCs/>
          <w:lang w:bidi="ru-RU"/>
        </w:rPr>
        <w:t>Глисона</w:t>
      </w:r>
      <w:proofErr w:type="spellEnd"/>
      <w:r w:rsidRPr="0067075A">
        <w:rPr>
          <w:iCs/>
          <w:lang w:bidi="ru-RU"/>
        </w:rPr>
        <w:t xml:space="preserve"> 8-10. Таким образом, мужчины, принимающие комбинацию </w:t>
      </w:r>
      <w:proofErr w:type="spellStart"/>
      <w:r w:rsidRPr="0067075A">
        <w:rPr>
          <w:iCs/>
          <w:lang w:bidi="ru-RU"/>
        </w:rPr>
        <w:t>дутастерид-тамсулозин</w:t>
      </w:r>
      <w:proofErr w:type="spellEnd"/>
      <w:r w:rsidRPr="0067075A">
        <w:rPr>
          <w:iCs/>
          <w:lang w:bidi="ru-RU"/>
        </w:rPr>
        <w:t xml:space="preserve">, должны регулярно </w:t>
      </w:r>
      <w:r w:rsidRPr="0067075A">
        <w:rPr>
          <w:iCs/>
          <w:lang w:bidi="ru-RU"/>
        </w:rPr>
        <w:lastRenderedPageBreak/>
        <w:t>проходить обследование на предмет развития рака предстательной железы (см. раздел 5.1).</w:t>
      </w:r>
    </w:p>
    <w:p w14:paraId="2F551B56" w14:textId="77777777" w:rsidR="00D674CA" w:rsidRPr="0067075A" w:rsidRDefault="00D674CA" w:rsidP="00D674CA">
      <w:pPr>
        <w:pStyle w:val="Style7"/>
        <w:spacing w:line="240" w:lineRule="auto"/>
        <w:jc w:val="both"/>
        <w:rPr>
          <w:i/>
          <w:lang w:bidi="ru-RU"/>
        </w:rPr>
      </w:pPr>
      <w:proofErr w:type="spellStart"/>
      <w:r w:rsidRPr="0067075A">
        <w:rPr>
          <w:i/>
          <w:lang w:bidi="ru-RU"/>
        </w:rPr>
        <w:t>Простатспецифический</w:t>
      </w:r>
      <w:proofErr w:type="spellEnd"/>
      <w:r w:rsidRPr="0067075A">
        <w:rPr>
          <w:i/>
          <w:lang w:bidi="ru-RU"/>
        </w:rPr>
        <w:t xml:space="preserve"> антиген (ПСА)</w:t>
      </w:r>
    </w:p>
    <w:p w14:paraId="6F068509" w14:textId="77777777" w:rsidR="00D674CA" w:rsidRPr="0067075A" w:rsidRDefault="00D674CA" w:rsidP="00D674CA">
      <w:pPr>
        <w:pStyle w:val="Style7"/>
        <w:spacing w:line="240" w:lineRule="auto"/>
        <w:jc w:val="both"/>
        <w:rPr>
          <w:iCs/>
          <w:lang w:bidi="ru-RU"/>
        </w:rPr>
      </w:pPr>
      <w:r w:rsidRPr="0067075A">
        <w:rPr>
          <w:iCs/>
          <w:lang w:bidi="ru-RU"/>
        </w:rPr>
        <w:t xml:space="preserve">Концентрация </w:t>
      </w:r>
      <w:proofErr w:type="spellStart"/>
      <w:r w:rsidRPr="0067075A">
        <w:rPr>
          <w:iCs/>
          <w:lang w:bidi="ru-RU"/>
        </w:rPr>
        <w:t>простатоспецифического</w:t>
      </w:r>
      <w:proofErr w:type="spellEnd"/>
      <w:r w:rsidRPr="0067075A">
        <w:rPr>
          <w:iCs/>
          <w:lang w:bidi="ru-RU"/>
        </w:rPr>
        <w:t xml:space="preserve"> антигена (ПСА) в сыворотке крови является важным компонентом диагностики рака предстательной железы. Препарат </w:t>
      </w:r>
      <w:proofErr w:type="spellStart"/>
      <w:r w:rsidRPr="0067075A">
        <w:rPr>
          <w:iCs/>
          <w:lang w:bidi="ru-RU"/>
        </w:rPr>
        <w:t>Дутабит</w:t>
      </w:r>
      <w:proofErr w:type="spellEnd"/>
      <w:r w:rsidRPr="0067075A">
        <w:rPr>
          <w:iCs/>
          <w:lang w:bidi="ru-RU"/>
        </w:rPr>
        <w:t xml:space="preserve"> Плюс вызывает снижение среднего уровня ПСА в сыворотке примерно на 50%, после 6 месяцев приема.</w:t>
      </w:r>
    </w:p>
    <w:p w14:paraId="682A9F75" w14:textId="77777777" w:rsidR="00D674CA" w:rsidRPr="0067075A" w:rsidRDefault="00D674CA" w:rsidP="00D674CA">
      <w:pPr>
        <w:pStyle w:val="Style7"/>
        <w:spacing w:line="240" w:lineRule="auto"/>
        <w:jc w:val="both"/>
        <w:rPr>
          <w:iCs/>
          <w:lang w:bidi="ru-RU"/>
        </w:rPr>
      </w:pPr>
      <w:r w:rsidRPr="0067075A">
        <w:rPr>
          <w:iCs/>
          <w:lang w:bidi="ru-RU"/>
        </w:rPr>
        <w:t xml:space="preserve">Пациенты, получающие препарат </w:t>
      </w:r>
      <w:proofErr w:type="spellStart"/>
      <w:r w:rsidR="00B75B6C" w:rsidRPr="0067075A">
        <w:rPr>
          <w:iCs/>
          <w:lang w:bidi="ru-RU"/>
        </w:rPr>
        <w:t>Дутабит</w:t>
      </w:r>
      <w:proofErr w:type="spellEnd"/>
      <w:r w:rsidR="00B75B6C" w:rsidRPr="0067075A">
        <w:rPr>
          <w:iCs/>
          <w:lang w:bidi="ru-RU"/>
        </w:rPr>
        <w:t xml:space="preserve"> Плюс</w:t>
      </w:r>
      <w:r w:rsidRPr="0067075A">
        <w:rPr>
          <w:iCs/>
          <w:lang w:bidi="ru-RU"/>
        </w:rPr>
        <w:t xml:space="preserve">, должны иметь новый исходный уровень ПСА, установленный после 6 месяцев приема </w:t>
      </w:r>
      <w:proofErr w:type="spellStart"/>
      <w:r w:rsidR="00B75B6C" w:rsidRPr="0067075A">
        <w:rPr>
          <w:iCs/>
          <w:lang w:bidi="ru-RU"/>
        </w:rPr>
        <w:t>Дутабит</w:t>
      </w:r>
      <w:proofErr w:type="spellEnd"/>
      <w:r w:rsidR="00B75B6C" w:rsidRPr="0067075A">
        <w:rPr>
          <w:iCs/>
          <w:lang w:bidi="ru-RU"/>
        </w:rPr>
        <w:t xml:space="preserve"> Плюс</w:t>
      </w:r>
      <w:r w:rsidRPr="0067075A">
        <w:rPr>
          <w:iCs/>
          <w:lang w:bidi="ru-RU"/>
        </w:rPr>
        <w:t xml:space="preserve">. Далее рекомендуется регулярно проводить мониторинг значения ПСА. Любое подтвержденное повышение уровня ПСА относительно его наименьшего значения, установленное во время приема </w:t>
      </w:r>
      <w:r w:rsidR="00B75B6C" w:rsidRPr="0067075A">
        <w:rPr>
          <w:iCs/>
          <w:lang w:bidi="ru-RU"/>
        </w:rPr>
        <w:t xml:space="preserve">препарата </w:t>
      </w:r>
      <w:bookmarkStart w:id="8" w:name="_Hlk69738319"/>
      <w:proofErr w:type="spellStart"/>
      <w:r w:rsidR="00B75B6C" w:rsidRPr="0067075A">
        <w:rPr>
          <w:iCs/>
          <w:lang w:bidi="ru-RU"/>
        </w:rPr>
        <w:t>Дутабит</w:t>
      </w:r>
      <w:proofErr w:type="spellEnd"/>
      <w:r w:rsidR="00B75B6C" w:rsidRPr="0067075A">
        <w:rPr>
          <w:iCs/>
          <w:lang w:bidi="ru-RU"/>
        </w:rPr>
        <w:t xml:space="preserve"> Плюс</w:t>
      </w:r>
      <w:bookmarkEnd w:id="8"/>
      <w:r w:rsidRPr="0067075A">
        <w:rPr>
          <w:iCs/>
          <w:lang w:bidi="ru-RU"/>
        </w:rPr>
        <w:t xml:space="preserve"> может указывать на наличие рака предстательной железы или несоблюдение режима терапии препаратом </w:t>
      </w:r>
      <w:proofErr w:type="spellStart"/>
      <w:r w:rsidR="00B75B6C" w:rsidRPr="0067075A">
        <w:rPr>
          <w:iCs/>
          <w:lang w:bidi="ru-RU"/>
        </w:rPr>
        <w:t>Дутабит</w:t>
      </w:r>
      <w:proofErr w:type="spellEnd"/>
      <w:r w:rsidR="00B75B6C" w:rsidRPr="0067075A">
        <w:rPr>
          <w:iCs/>
          <w:lang w:bidi="ru-RU"/>
        </w:rPr>
        <w:t xml:space="preserve"> Плюс</w:t>
      </w:r>
      <w:r w:rsidRPr="0067075A">
        <w:rPr>
          <w:iCs/>
          <w:lang w:bidi="ru-RU"/>
        </w:rPr>
        <w:t xml:space="preserve"> и должно быть подвергнуто тщательной оценке, даже если эти показатели ПСА остаются в пределах нормы для мужчин, не принимающих ингибитор 5-альфа-редуктазы (см. раздел 5.1). Интерпретацию значения ПСА у пациента, принимающего </w:t>
      </w:r>
      <w:proofErr w:type="spellStart"/>
      <w:r w:rsidRPr="0067075A">
        <w:rPr>
          <w:iCs/>
          <w:lang w:bidi="ru-RU"/>
        </w:rPr>
        <w:t>дутастерид</w:t>
      </w:r>
      <w:proofErr w:type="spellEnd"/>
      <w:r w:rsidRPr="0067075A">
        <w:rPr>
          <w:iCs/>
          <w:lang w:bidi="ru-RU"/>
        </w:rPr>
        <w:t>, следует проводить путем сравнения с предыдущими показателями ПСА.</w:t>
      </w:r>
    </w:p>
    <w:p w14:paraId="463428A4" w14:textId="77777777" w:rsidR="00D674CA" w:rsidRPr="0067075A" w:rsidRDefault="00D674CA" w:rsidP="00D674CA">
      <w:pPr>
        <w:pStyle w:val="Style7"/>
        <w:spacing w:line="240" w:lineRule="auto"/>
        <w:jc w:val="both"/>
        <w:rPr>
          <w:iCs/>
          <w:lang w:bidi="ru-RU"/>
        </w:rPr>
      </w:pPr>
      <w:r w:rsidRPr="0067075A">
        <w:rPr>
          <w:iCs/>
          <w:lang w:bidi="ru-RU"/>
        </w:rPr>
        <w:t xml:space="preserve">Лечение препаратом </w:t>
      </w:r>
      <w:proofErr w:type="spellStart"/>
      <w:r w:rsidR="00B75B6C" w:rsidRPr="0067075A">
        <w:rPr>
          <w:iCs/>
          <w:lang w:bidi="ru-RU"/>
        </w:rPr>
        <w:t>Дутабит</w:t>
      </w:r>
      <w:proofErr w:type="spellEnd"/>
      <w:r w:rsidR="00B75B6C" w:rsidRPr="0067075A">
        <w:rPr>
          <w:iCs/>
          <w:lang w:bidi="ru-RU"/>
        </w:rPr>
        <w:t xml:space="preserve"> Плюс</w:t>
      </w:r>
      <w:r w:rsidRPr="0067075A">
        <w:rPr>
          <w:iCs/>
          <w:lang w:bidi="ru-RU"/>
        </w:rPr>
        <w:t xml:space="preserve"> не оказывает влияние на использование ПСА в качестве инструмента диагностики рака предстательной железы после установления его нового исходного уровня. </w:t>
      </w:r>
    </w:p>
    <w:p w14:paraId="5A07ECF3" w14:textId="77777777" w:rsidR="00D674CA" w:rsidRPr="0067075A" w:rsidRDefault="00D674CA" w:rsidP="00D674CA">
      <w:pPr>
        <w:pStyle w:val="Style7"/>
        <w:spacing w:line="240" w:lineRule="auto"/>
        <w:jc w:val="both"/>
        <w:rPr>
          <w:iCs/>
          <w:lang w:bidi="ru-RU"/>
        </w:rPr>
      </w:pPr>
      <w:r w:rsidRPr="0067075A">
        <w:rPr>
          <w:iCs/>
          <w:lang w:bidi="ru-RU"/>
        </w:rPr>
        <w:t xml:space="preserve">Уровень общего ПСА в сыворотке возвращается к исходному значению в течение </w:t>
      </w:r>
      <w:r w:rsidR="00B75B6C" w:rsidRPr="0067075A">
        <w:rPr>
          <w:iCs/>
          <w:lang w:bidi="ru-RU"/>
        </w:rPr>
        <w:t xml:space="preserve">        </w:t>
      </w:r>
      <w:r w:rsidRPr="0067075A">
        <w:rPr>
          <w:iCs/>
          <w:lang w:bidi="ru-RU"/>
        </w:rPr>
        <w:t xml:space="preserve">6 месяцев после прекращения лечения. Отношение содержания свободного ПСА к общему остается постоянным даже при приеме лекарственного препарата </w:t>
      </w:r>
      <w:proofErr w:type="spellStart"/>
      <w:r w:rsidR="00B75B6C" w:rsidRPr="0067075A">
        <w:rPr>
          <w:iCs/>
          <w:lang w:bidi="ru-RU"/>
        </w:rPr>
        <w:t>Дутабит</w:t>
      </w:r>
      <w:proofErr w:type="spellEnd"/>
      <w:r w:rsidR="00B75B6C" w:rsidRPr="0067075A">
        <w:rPr>
          <w:iCs/>
          <w:lang w:bidi="ru-RU"/>
        </w:rPr>
        <w:t xml:space="preserve"> Плюс</w:t>
      </w:r>
      <w:r w:rsidRPr="0067075A">
        <w:rPr>
          <w:iCs/>
          <w:lang w:bidi="ru-RU"/>
        </w:rPr>
        <w:t xml:space="preserve">. Если для обнаружения рака предстательной железы у мужчин, получающих </w:t>
      </w:r>
      <w:proofErr w:type="spellStart"/>
      <w:r w:rsidR="00B75B6C" w:rsidRPr="0067075A">
        <w:rPr>
          <w:iCs/>
          <w:lang w:bidi="ru-RU"/>
        </w:rPr>
        <w:t>Дутабит</w:t>
      </w:r>
      <w:proofErr w:type="spellEnd"/>
      <w:r w:rsidR="00B75B6C" w:rsidRPr="0067075A">
        <w:rPr>
          <w:iCs/>
          <w:lang w:bidi="ru-RU"/>
        </w:rPr>
        <w:t xml:space="preserve"> Плюс</w:t>
      </w:r>
      <w:r w:rsidRPr="0067075A">
        <w:rPr>
          <w:iCs/>
          <w:lang w:bidi="ru-RU"/>
        </w:rPr>
        <w:t xml:space="preserve"> врач решит использовать процент содержания свободного ПСА, не требуется проводить коррекцию этого значения.</w:t>
      </w:r>
    </w:p>
    <w:p w14:paraId="7D1A0A27" w14:textId="77777777" w:rsidR="00D674CA" w:rsidRPr="0067075A" w:rsidRDefault="00D674CA" w:rsidP="00D674CA">
      <w:pPr>
        <w:pStyle w:val="Style7"/>
        <w:spacing w:line="240" w:lineRule="auto"/>
        <w:jc w:val="both"/>
        <w:rPr>
          <w:iCs/>
          <w:lang w:bidi="ru-RU"/>
        </w:rPr>
      </w:pPr>
      <w:r w:rsidRPr="0067075A">
        <w:rPr>
          <w:iCs/>
          <w:lang w:bidi="ru-RU"/>
        </w:rPr>
        <w:t xml:space="preserve">Перед началом терапии препаратом </w:t>
      </w:r>
      <w:proofErr w:type="spellStart"/>
      <w:r w:rsidR="00B75B6C" w:rsidRPr="0067075A">
        <w:rPr>
          <w:iCs/>
          <w:lang w:bidi="ru-RU"/>
        </w:rPr>
        <w:t>Дутабит</w:t>
      </w:r>
      <w:proofErr w:type="spellEnd"/>
      <w:r w:rsidR="00B75B6C" w:rsidRPr="0067075A">
        <w:rPr>
          <w:iCs/>
          <w:lang w:bidi="ru-RU"/>
        </w:rPr>
        <w:t xml:space="preserve"> Плюс</w:t>
      </w:r>
      <w:r w:rsidRPr="0067075A">
        <w:rPr>
          <w:iCs/>
          <w:lang w:bidi="ru-RU"/>
        </w:rPr>
        <w:t xml:space="preserve">, а также периодически в ходе лечения необходимо проводить пальцевое ректальное исследование, а также использовать другие методы исследования для выявления рака предстательной железы или других заболеваний, которые могут вызвать симптомы, схожие с таковыми при ДГПЖ. </w:t>
      </w:r>
    </w:p>
    <w:p w14:paraId="6B047F3D" w14:textId="77777777" w:rsidR="00D674CA" w:rsidRPr="0067075A" w:rsidRDefault="00D674CA" w:rsidP="00D674CA">
      <w:pPr>
        <w:pStyle w:val="Style7"/>
        <w:spacing w:line="240" w:lineRule="auto"/>
        <w:jc w:val="both"/>
        <w:rPr>
          <w:i/>
          <w:lang w:bidi="ru-RU"/>
        </w:rPr>
      </w:pPr>
      <w:r w:rsidRPr="0067075A">
        <w:rPr>
          <w:i/>
          <w:lang w:bidi="ru-RU"/>
        </w:rPr>
        <w:t>Нежелательные явления со стороны сердечно-сосудистой системы</w:t>
      </w:r>
    </w:p>
    <w:p w14:paraId="269237C7" w14:textId="77777777" w:rsidR="00D674CA" w:rsidRPr="0067075A" w:rsidRDefault="00D674CA" w:rsidP="00D674CA">
      <w:pPr>
        <w:pStyle w:val="Style7"/>
        <w:spacing w:line="240" w:lineRule="auto"/>
        <w:jc w:val="both"/>
        <w:rPr>
          <w:iCs/>
          <w:lang w:bidi="ru-RU"/>
        </w:rPr>
      </w:pPr>
      <w:r w:rsidRPr="0067075A">
        <w:rPr>
          <w:iCs/>
          <w:lang w:bidi="ru-RU"/>
        </w:rPr>
        <w:t xml:space="preserve">В двух 4-летних клинических исследованиях частота возникновения сердечной недостаточности (составной термин для обозначения таких явлений, как первичная сердечная недостаточность и застойная сердечная недостаточность) была незначительно выше среди пациентов, принимающих комбинацию </w:t>
      </w:r>
      <w:proofErr w:type="spellStart"/>
      <w:r w:rsidRPr="0067075A">
        <w:rPr>
          <w:iCs/>
          <w:lang w:bidi="ru-RU"/>
        </w:rPr>
        <w:t>дутастерида</w:t>
      </w:r>
      <w:proofErr w:type="spellEnd"/>
      <w:r w:rsidRPr="0067075A">
        <w:rPr>
          <w:iCs/>
          <w:lang w:bidi="ru-RU"/>
        </w:rPr>
        <w:t xml:space="preserve"> и антагониста альфа1-адренорецепторов, главным образом, </w:t>
      </w:r>
      <w:proofErr w:type="spellStart"/>
      <w:r w:rsidRPr="0067075A">
        <w:rPr>
          <w:iCs/>
          <w:lang w:bidi="ru-RU"/>
        </w:rPr>
        <w:t>тамсулозина</w:t>
      </w:r>
      <w:proofErr w:type="spellEnd"/>
      <w:r w:rsidRPr="0067075A">
        <w:rPr>
          <w:iCs/>
          <w:lang w:bidi="ru-RU"/>
        </w:rPr>
        <w:t xml:space="preserve">, чем среди пациентов, которые не принимали данную комбинацию. Однако, частота развития сердечной недостаточности в этих исследованиях была ниже во всех группах с активным лечением по сравнению с группой плацебо, другие данные, в отношении </w:t>
      </w:r>
      <w:proofErr w:type="spellStart"/>
      <w:r w:rsidRPr="0067075A">
        <w:rPr>
          <w:iCs/>
          <w:lang w:bidi="ru-RU"/>
        </w:rPr>
        <w:t>дутастерида</w:t>
      </w:r>
      <w:proofErr w:type="spellEnd"/>
      <w:r w:rsidRPr="0067075A">
        <w:rPr>
          <w:iCs/>
          <w:lang w:bidi="ru-RU"/>
        </w:rPr>
        <w:t xml:space="preserve"> и антагонистов альфа1-адренорецепторов, не подтверждают вывод о повышенном риске развития сердечно-сосудистых осложнений (см. раздел 5.1). </w:t>
      </w:r>
    </w:p>
    <w:p w14:paraId="5272A76E" w14:textId="77777777" w:rsidR="00D674CA" w:rsidRPr="0067075A" w:rsidRDefault="00D674CA" w:rsidP="00D674CA">
      <w:pPr>
        <w:pStyle w:val="Style7"/>
        <w:spacing w:line="240" w:lineRule="auto"/>
        <w:jc w:val="both"/>
        <w:rPr>
          <w:i/>
          <w:lang w:bidi="ru-RU"/>
        </w:rPr>
      </w:pPr>
      <w:r w:rsidRPr="0067075A">
        <w:rPr>
          <w:i/>
          <w:lang w:bidi="ru-RU"/>
        </w:rPr>
        <w:t>Новообразования грудной железы</w:t>
      </w:r>
    </w:p>
    <w:p w14:paraId="138E1482" w14:textId="77777777" w:rsidR="00D674CA" w:rsidRPr="0067075A" w:rsidRDefault="00D674CA" w:rsidP="00D674CA">
      <w:pPr>
        <w:pStyle w:val="Style7"/>
        <w:widowControl/>
        <w:spacing w:line="240" w:lineRule="auto"/>
        <w:jc w:val="both"/>
        <w:rPr>
          <w:iCs/>
          <w:lang w:bidi="ru-RU"/>
        </w:rPr>
      </w:pPr>
      <w:r w:rsidRPr="0067075A">
        <w:rPr>
          <w:iCs/>
          <w:lang w:bidi="ru-RU"/>
        </w:rPr>
        <w:t xml:space="preserve">Сообщалось о редких случаях развития рака грудной железы у мужчин, принимающих </w:t>
      </w:r>
      <w:proofErr w:type="spellStart"/>
      <w:r w:rsidRPr="0067075A">
        <w:rPr>
          <w:iCs/>
          <w:lang w:bidi="ru-RU"/>
        </w:rPr>
        <w:t>дутастерид</w:t>
      </w:r>
      <w:proofErr w:type="spellEnd"/>
      <w:r w:rsidRPr="0067075A">
        <w:rPr>
          <w:iCs/>
          <w:lang w:bidi="ru-RU"/>
        </w:rPr>
        <w:t xml:space="preserve"> в клинических исследованиях и в пострегистрационный период. Однако, эпидемиологические исследования не показали увеличения риска развития рака грудной железы у мужчин при применении ингибиторов 5-альфа-редуктазы (см. раздел 5.1). Врачи должны предупредить свои</w:t>
      </w:r>
      <w:r w:rsidRPr="0067075A">
        <w:rPr>
          <w:iCs/>
          <w:lang w:val="en-US" w:bidi="ru-RU"/>
        </w:rPr>
        <w:t>x</w:t>
      </w:r>
      <w:r w:rsidRPr="0067075A">
        <w:rPr>
          <w:iCs/>
          <w:lang w:bidi="ru-RU"/>
        </w:rPr>
        <w:t xml:space="preserve"> пациентов о необходимости немедленно сообщать о любых изменениях в тканях молочной железы, таких как уплотнения или выделения из сосков.</w:t>
      </w:r>
    </w:p>
    <w:p w14:paraId="4CB58822" w14:textId="77777777" w:rsidR="00D674CA" w:rsidRPr="0067075A" w:rsidRDefault="00D674CA" w:rsidP="00D674CA">
      <w:pPr>
        <w:pStyle w:val="Style7"/>
        <w:widowControl/>
        <w:spacing w:line="240" w:lineRule="auto"/>
        <w:jc w:val="both"/>
        <w:rPr>
          <w:i/>
          <w:lang w:bidi="ru-RU"/>
        </w:rPr>
      </w:pPr>
      <w:r w:rsidRPr="0067075A">
        <w:rPr>
          <w:i/>
          <w:lang w:bidi="ru-RU"/>
        </w:rPr>
        <w:t>Почечная недостаточность</w:t>
      </w:r>
    </w:p>
    <w:p w14:paraId="6B345013" w14:textId="77777777" w:rsidR="00D674CA" w:rsidRPr="0067075A" w:rsidRDefault="00D674CA" w:rsidP="00D674CA">
      <w:pPr>
        <w:pStyle w:val="Style7"/>
        <w:widowControl/>
        <w:spacing w:line="240" w:lineRule="auto"/>
        <w:jc w:val="both"/>
        <w:rPr>
          <w:iCs/>
          <w:lang w:bidi="ru-RU"/>
        </w:rPr>
      </w:pPr>
      <w:r w:rsidRPr="0067075A">
        <w:rPr>
          <w:iCs/>
          <w:lang w:bidi="ru-RU"/>
        </w:rPr>
        <w:lastRenderedPageBreak/>
        <w:t>С осторожностью проводят лечение пациентов с почечной недостаточностью тяжелой степени (клиренс креатинина &lt;10 мл/мин), поскольку применение препарата у таких пациентов не изучалось.</w:t>
      </w:r>
    </w:p>
    <w:p w14:paraId="50F0CCEE" w14:textId="77777777" w:rsidR="00D674CA" w:rsidRPr="0067075A" w:rsidRDefault="00D674CA" w:rsidP="00D674CA">
      <w:pPr>
        <w:pStyle w:val="Style14"/>
        <w:jc w:val="both"/>
        <w:rPr>
          <w:rStyle w:val="FontStyle18"/>
          <w:b w:val="0"/>
          <w:bCs w:val="0"/>
          <w:iCs w:val="0"/>
          <w:sz w:val="24"/>
          <w:szCs w:val="24"/>
        </w:rPr>
      </w:pPr>
      <w:r w:rsidRPr="0067075A">
        <w:rPr>
          <w:rStyle w:val="FontStyle18"/>
          <w:b w:val="0"/>
          <w:bCs w:val="0"/>
          <w:iCs w:val="0"/>
          <w:sz w:val="24"/>
          <w:szCs w:val="24"/>
        </w:rPr>
        <w:t xml:space="preserve">Гипотония </w:t>
      </w:r>
    </w:p>
    <w:p w14:paraId="40F2B32F" w14:textId="77777777" w:rsidR="00D674CA" w:rsidRPr="0067075A" w:rsidRDefault="00D674CA" w:rsidP="00D674CA">
      <w:pPr>
        <w:pStyle w:val="Style14"/>
        <w:jc w:val="both"/>
        <w:rPr>
          <w:rStyle w:val="FontStyle18"/>
          <w:b w:val="0"/>
          <w:bCs w:val="0"/>
          <w:i w:val="0"/>
          <w:sz w:val="24"/>
          <w:szCs w:val="24"/>
        </w:rPr>
      </w:pPr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Ортостатическая: как и в случае с другими антагонистами альфа1-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адренорецепторов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, при приеме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тамсулозина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может наблюдаться снижение артериального давления, в редких случаях приводящее к обморокам. Пациентам, начинающим лечение препаратом</w:t>
      </w:r>
      <w:r w:rsidR="00F2151A" w:rsidRPr="0067075A">
        <w:rPr>
          <w:rStyle w:val="FontStyle18"/>
          <w:b w:val="0"/>
          <w:bCs w:val="0"/>
          <w:i w:val="0"/>
          <w:sz w:val="24"/>
          <w:szCs w:val="24"/>
        </w:rPr>
        <w:t xml:space="preserve"> </w:t>
      </w:r>
      <w:bookmarkStart w:id="9" w:name="_Hlk69738695"/>
      <w:proofErr w:type="spellStart"/>
      <w:r w:rsidR="00F2151A" w:rsidRPr="0067075A">
        <w:rPr>
          <w:rStyle w:val="FontStyle18"/>
          <w:b w:val="0"/>
          <w:bCs w:val="0"/>
          <w:i w:val="0"/>
          <w:sz w:val="24"/>
          <w:szCs w:val="24"/>
        </w:rPr>
        <w:t>Дутабит</w:t>
      </w:r>
      <w:proofErr w:type="spellEnd"/>
      <w:r w:rsidR="00F2151A" w:rsidRPr="0067075A">
        <w:rPr>
          <w:rStyle w:val="FontStyle18"/>
          <w:b w:val="0"/>
          <w:bCs w:val="0"/>
          <w:i w:val="0"/>
          <w:sz w:val="24"/>
          <w:szCs w:val="24"/>
        </w:rPr>
        <w:t xml:space="preserve"> Плюс</w:t>
      </w:r>
      <w:bookmarkEnd w:id="9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, следует рекомендовать сесть или лечь при первых признаках </w:t>
      </w:r>
      <w:proofErr w:type="gramStart"/>
      <w:r w:rsidRPr="0067075A">
        <w:rPr>
          <w:rStyle w:val="FontStyle18"/>
          <w:b w:val="0"/>
          <w:bCs w:val="0"/>
          <w:i w:val="0"/>
          <w:sz w:val="24"/>
          <w:szCs w:val="24"/>
        </w:rPr>
        <w:t>ортостатической  гипотонии</w:t>
      </w:r>
      <w:proofErr w:type="gram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(головокружение, слабость) до тех пор, пока симптомы не пройдут.</w:t>
      </w:r>
    </w:p>
    <w:p w14:paraId="39D0DB0E" w14:textId="77777777" w:rsidR="00D674CA" w:rsidRPr="0067075A" w:rsidRDefault="00D674CA" w:rsidP="00D674CA">
      <w:pPr>
        <w:pStyle w:val="Style14"/>
        <w:jc w:val="both"/>
        <w:rPr>
          <w:rStyle w:val="FontStyle18"/>
          <w:b w:val="0"/>
          <w:bCs w:val="0"/>
          <w:i w:val="0"/>
          <w:sz w:val="24"/>
          <w:szCs w:val="24"/>
        </w:rPr>
      </w:pPr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Для минимизации возможного развития ортостатической гипотонии, перед началом лечения ингибиторами фосфодиэстеразы-5 (ФДЭ-5) пациент должен быть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гемодинамически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стабилен на терапии другими антагонистами альфа1-адренорецепторов.</w:t>
      </w:r>
    </w:p>
    <w:p w14:paraId="1C707EC8" w14:textId="77777777" w:rsidR="00D674CA" w:rsidRPr="0067075A" w:rsidRDefault="00D674CA" w:rsidP="00D674CA">
      <w:pPr>
        <w:pStyle w:val="Style14"/>
        <w:widowControl/>
        <w:jc w:val="both"/>
        <w:rPr>
          <w:rStyle w:val="FontStyle18"/>
          <w:b w:val="0"/>
          <w:bCs w:val="0"/>
          <w:i w:val="0"/>
          <w:sz w:val="24"/>
          <w:szCs w:val="24"/>
        </w:rPr>
      </w:pPr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Симптоматическая: соблюдают осторожность при одновременном применении альфа-адреноблокаторов, включая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тамсулозин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, с ингибиторами ФДЭ-5 (например,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силденафил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,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тадалафил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,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варденафил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). Антагонисты альфа1-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адренорецепторов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и ингибиторы ФДЭ-5 являются сосудорасширяющими средствами, способными понижать артериальное давление. Одновременный прием лекарственных препаратов этих двух классов может вызвать симптоматическую гипотонию (см. раздел 4.5).</w:t>
      </w:r>
    </w:p>
    <w:p w14:paraId="22BC7834" w14:textId="77777777" w:rsidR="00D674CA" w:rsidRPr="0067075A" w:rsidRDefault="00D674CA" w:rsidP="00D674CA">
      <w:pPr>
        <w:pStyle w:val="Style14"/>
        <w:jc w:val="both"/>
        <w:rPr>
          <w:rStyle w:val="FontStyle18"/>
          <w:b w:val="0"/>
          <w:bCs w:val="0"/>
          <w:iCs w:val="0"/>
          <w:sz w:val="24"/>
          <w:szCs w:val="24"/>
        </w:rPr>
      </w:pPr>
      <w:proofErr w:type="spellStart"/>
      <w:r w:rsidRPr="0067075A">
        <w:rPr>
          <w:rStyle w:val="FontStyle18"/>
          <w:b w:val="0"/>
          <w:bCs w:val="0"/>
          <w:iCs w:val="0"/>
          <w:sz w:val="24"/>
          <w:szCs w:val="24"/>
        </w:rPr>
        <w:t>Интраоперационный</w:t>
      </w:r>
      <w:proofErr w:type="spellEnd"/>
      <w:r w:rsidRPr="0067075A">
        <w:rPr>
          <w:rStyle w:val="FontStyle18"/>
          <w:b w:val="0"/>
          <w:bCs w:val="0"/>
          <w:iCs w:val="0"/>
          <w:sz w:val="24"/>
          <w:szCs w:val="24"/>
        </w:rPr>
        <w:t xml:space="preserve"> флоппи-ирис синдром </w:t>
      </w:r>
    </w:p>
    <w:p w14:paraId="335C298D" w14:textId="77777777" w:rsidR="00D674CA" w:rsidRPr="0067075A" w:rsidRDefault="00D674CA" w:rsidP="00D674CA">
      <w:pPr>
        <w:pStyle w:val="Style14"/>
        <w:jc w:val="both"/>
        <w:rPr>
          <w:rStyle w:val="FontStyle18"/>
          <w:b w:val="0"/>
          <w:bCs w:val="0"/>
          <w:i w:val="0"/>
          <w:sz w:val="24"/>
          <w:szCs w:val="24"/>
        </w:rPr>
      </w:pP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Интраоперационный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флоппи-ирис синдром (ИФИС, разновидность синдрома маленького зрачка) наблюдался во время операции по удалению катаракты у некоторых пациентов, принимающих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тамсулозин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или получавших его ранее. ИФИС может увеличить риск развития глазных осложнений в ходе и после операций. Поэтому не рекомендуется начинать терапию препаратом </w:t>
      </w:r>
      <w:proofErr w:type="spellStart"/>
      <w:r w:rsidR="00F2151A" w:rsidRPr="0067075A">
        <w:rPr>
          <w:rStyle w:val="FontStyle18"/>
          <w:b w:val="0"/>
          <w:bCs w:val="0"/>
          <w:i w:val="0"/>
          <w:sz w:val="24"/>
          <w:szCs w:val="24"/>
        </w:rPr>
        <w:t>Дутабит</w:t>
      </w:r>
      <w:proofErr w:type="spellEnd"/>
      <w:r w:rsidR="00F2151A" w:rsidRPr="0067075A">
        <w:rPr>
          <w:rStyle w:val="FontStyle18"/>
          <w:b w:val="0"/>
          <w:bCs w:val="0"/>
          <w:i w:val="0"/>
          <w:sz w:val="24"/>
          <w:szCs w:val="24"/>
        </w:rPr>
        <w:t xml:space="preserve"> Плюс</w:t>
      </w:r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у пациентов, которым запланировано проведение хирургической операции по поводу катаракты. </w:t>
      </w:r>
    </w:p>
    <w:p w14:paraId="71B2C4B6" w14:textId="77777777" w:rsidR="00D674CA" w:rsidRPr="0067075A" w:rsidRDefault="00D674CA" w:rsidP="00D674CA">
      <w:pPr>
        <w:pStyle w:val="Style14"/>
        <w:jc w:val="both"/>
        <w:rPr>
          <w:rStyle w:val="FontStyle18"/>
          <w:b w:val="0"/>
          <w:bCs w:val="0"/>
          <w:i w:val="0"/>
          <w:sz w:val="24"/>
          <w:szCs w:val="24"/>
        </w:rPr>
      </w:pPr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Во время обследования перед операцией, хирург-офтальмолог и офтальмологические </w:t>
      </w:r>
      <w:proofErr w:type="gramStart"/>
      <w:r w:rsidRPr="0067075A">
        <w:rPr>
          <w:rStyle w:val="FontStyle18"/>
          <w:b w:val="0"/>
          <w:bCs w:val="0"/>
          <w:i w:val="0"/>
          <w:sz w:val="24"/>
          <w:szCs w:val="24"/>
        </w:rPr>
        <w:t>бригады  должны</w:t>
      </w:r>
      <w:proofErr w:type="gram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уточнить, принимают ли пациенты препарат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Дуодарт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или возможно принимали его ранее, чтобы подготовиться к принятию соответствующих мер для лечения ИФИС в ходе операции.</w:t>
      </w:r>
    </w:p>
    <w:p w14:paraId="723166B0" w14:textId="77777777" w:rsidR="00D674CA" w:rsidRPr="0067075A" w:rsidRDefault="00D674CA" w:rsidP="00D674CA">
      <w:pPr>
        <w:pStyle w:val="Style14"/>
        <w:widowControl/>
        <w:jc w:val="both"/>
        <w:rPr>
          <w:rStyle w:val="FontStyle18"/>
          <w:b w:val="0"/>
          <w:bCs w:val="0"/>
          <w:i w:val="0"/>
          <w:sz w:val="24"/>
          <w:szCs w:val="24"/>
        </w:rPr>
      </w:pPr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Считается, что отмена приема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тамсулозина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за 1-2 недели до операции по поводу катаракты оказывает положительное действие, но польза и продолжительность прекращения приема препарата перед операцией по удалению катаракты не установлены.</w:t>
      </w:r>
    </w:p>
    <w:p w14:paraId="6C3D4F6B" w14:textId="77777777" w:rsidR="00D674CA" w:rsidRPr="0067075A" w:rsidRDefault="00D674CA" w:rsidP="00D674CA">
      <w:pPr>
        <w:pStyle w:val="Style14"/>
        <w:jc w:val="both"/>
        <w:rPr>
          <w:rStyle w:val="FontStyle18"/>
          <w:b w:val="0"/>
          <w:bCs w:val="0"/>
          <w:iCs w:val="0"/>
          <w:sz w:val="24"/>
          <w:szCs w:val="24"/>
        </w:rPr>
      </w:pPr>
      <w:r w:rsidRPr="0067075A">
        <w:rPr>
          <w:rStyle w:val="FontStyle18"/>
          <w:b w:val="0"/>
          <w:bCs w:val="0"/>
          <w:iCs w:val="0"/>
          <w:sz w:val="24"/>
          <w:szCs w:val="24"/>
        </w:rPr>
        <w:t>Поврежденная капсула</w:t>
      </w:r>
    </w:p>
    <w:p w14:paraId="071CA1DA" w14:textId="77777777" w:rsidR="00D674CA" w:rsidRPr="0067075A" w:rsidRDefault="00D674CA" w:rsidP="00D674CA">
      <w:pPr>
        <w:pStyle w:val="Style14"/>
        <w:jc w:val="both"/>
        <w:rPr>
          <w:rStyle w:val="FontStyle18"/>
          <w:b w:val="0"/>
          <w:bCs w:val="0"/>
          <w:i w:val="0"/>
          <w:sz w:val="24"/>
          <w:szCs w:val="24"/>
        </w:rPr>
      </w:pP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Дутастерид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всасывается через кожу, поэтому женщины, дети и подростки должны избегать контакта с поврежденными капсулами (см. раздел 4.6). В случае контакта с поврежденными капсулами необходимо немедленно промыть соответствующий участок кожи водой с мылом. </w:t>
      </w:r>
    </w:p>
    <w:p w14:paraId="7079E3E9" w14:textId="77777777" w:rsidR="00D674CA" w:rsidRPr="0067075A" w:rsidRDefault="00D674CA" w:rsidP="00D674CA">
      <w:pPr>
        <w:pStyle w:val="Style14"/>
        <w:jc w:val="both"/>
        <w:rPr>
          <w:rStyle w:val="FontStyle18"/>
          <w:b w:val="0"/>
          <w:bCs w:val="0"/>
          <w:iCs w:val="0"/>
          <w:sz w:val="24"/>
          <w:szCs w:val="24"/>
        </w:rPr>
      </w:pPr>
      <w:r w:rsidRPr="0067075A">
        <w:rPr>
          <w:rStyle w:val="FontStyle18"/>
          <w:b w:val="0"/>
          <w:bCs w:val="0"/>
          <w:iCs w:val="0"/>
          <w:sz w:val="24"/>
          <w:szCs w:val="24"/>
        </w:rPr>
        <w:t>Ингибиторы CYP3A4 и CYP2D6</w:t>
      </w:r>
    </w:p>
    <w:p w14:paraId="0F2958EF" w14:textId="77777777" w:rsidR="00D674CA" w:rsidRPr="0067075A" w:rsidRDefault="00D674CA" w:rsidP="00D674CA">
      <w:pPr>
        <w:pStyle w:val="Style14"/>
        <w:widowControl/>
        <w:jc w:val="both"/>
        <w:rPr>
          <w:rStyle w:val="FontStyle18"/>
          <w:b w:val="0"/>
          <w:bCs w:val="0"/>
          <w:i w:val="0"/>
          <w:sz w:val="24"/>
          <w:szCs w:val="24"/>
        </w:rPr>
      </w:pPr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Одновременный прием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тамсулозина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гидрохлорида с сильными ингибиторами CYP3A4 (например,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кетоконазол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), или в меньшей степени с сильными ингибиторами СYP2D6 (например,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пароксетин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) может повысить воздействие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тамсулозина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(см. раздел 4.5). Поэтому, </w:t>
      </w:r>
      <w:proofErr w:type="spellStart"/>
      <w:r w:rsidRPr="0067075A">
        <w:rPr>
          <w:rStyle w:val="FontStyle18"/>
          <w:b w:val="0"/>
          <w:bCs w:val="0"/>
          <w:i w:val="0"/>
          <w:sz w:val="24"/>
          <w:szCs w:val="24"/>
        </w:rPr>
        <w:t>тамсулозина</w:t>
      </w:r>
      <w:proofErr w:type="spell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гидрохлорид не рекомендуется пациентам, принимающим сильные ингибиторы </w:t>
      </w:r>
      <w:proofErr w:type="gramStart"/>
      <w:r w:rsidRPr="0067075A">
        <w:rPr>
          <w:rStyle w:val="FontStyle18"/>
          <w:b w:val="0"/>
          <w:bCs w:val="0"/>
          <w:i w:val="0"/>
          <w:sz w:val="24"/>
          <w:szCs w:val="24"/>
        </w:rPr>
        <w:t>CYP3A4</w:t>
      </w:r>
      <w:proofErr w:type="gramEnd"/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 и должен с осторожностью применяться у пациентов, принимающих умеренные ингибиторы CYP3A4, сильные или умеренные ингибиторы СYP2D6, комбинацию ингибиторов CYP3A4 и СYP2D6, или у пациентов с медленным метаболизмом СYP2D6.</w:t>
      </w:r>
    </w:p>
    <w:p w14:paraId="404582E5" w14:textId="77777777" w:rsidR="00B75B6C" w:rsidRPr="0067075A" w:rsidRDefault="00B75B6C" w:rsidP="00B75B6C">
      <w:pPr>
        <w:pStyle w:val="Style7"/>
        <w:widowControl/>
        <w:spacing w:line="240" w:lineRule="auto"/>
        <w:jc w:val="both"/>
        <w:rPr>
          <w:i/>
          <w:lang w:bidi="ru-RU"/>
        </w:rPr>
      </w:pPr>
      <w:r w:rsidRPr="0067075A">
        <w:rPr>
          <w:i/>
          <w:lang w:bidi="ru-RU"/>
        </w:rPr>
        <w:t>Печеночная недостаточность</w:t>
      </w:r>
    </w:p>
    <w:p w14:paraId="45BB5C44" w14:textId="77777777" w:rsidR="00B75B6C" w:rsidRPr="0067075A" w:rsidRDefault="00B75B6C" w:rsidP="002843C5">
      <w:pPr>
        <w:pStyle w:val="Style7"/>
        <w:widowControl/>
        <w:spacing w:line="240" w:lineRule="auto"/>
        <w:jc w:val="both"/>
        <w:rPr>
          <w:rStyle w:val="FontStyle18"/>
          <w:b w:val="0"/>
          <w:bCs w:val="0"/>
          <w:i w:val="0"/>
          <w:sz w:val="24"/>
          <w:szCs w:val="24"/>
          <w:lang w:bidi="ru-RU"/>
        </w:rPr>
      </w:pPr>
      <w:r w:rsidRPr="0067075A">
        <w:rPr>
          <w:iCs/>
          <w:lang w:bidi="ru-RU"/>
        </w:rPr>
        <w:t xml:space="preserve">Применение лекарственного средства </w:t>
      </w:r>
      <w:proofErr w:type="spellStart"/>
      <w:r w:rsidRPr="0067075A">
        <w:rPr>
          <w:iCs/>
          <w:lang w:bidi="ru-RU"/>
        </w:rPr>
        <w:t>Дутабит</w:t>
      </w:r>
      <w:proofErr w:type="spellEnd"/>
      <w:r w:rsidRPr="0067075A">
        <w:rPr>
          <w:iCs/>
          <w:lang w:bidi="ru-RU"/>
        </w:rPr>
        <w:t xml:space="preserve"> Плюс у пациентов с печеночной недостаточностью не изучалось. Следует соблюдать осторожность при назначении </w:t>
      </w:r>
      <w:r w:rsidRPr="0067075A">
        <w:rPr>
          <w:iCs/>
          <w:lang w:bidi="ru-RU"/>
        </w:rPr>
        <w:lastRenderedPageBreak/>
        <w:t xml:space="preserve">препарата </w:t>
      </w:r>
      <w:proofErr w:type="spellStart"/>
      <w:r w:rsidRPr="0067075A">
        <w:rPr>
          <w:iCs/>
          <w:lang w:bidi="ru-RU"/>
        </w:rPr>
        <w:t>Дутабит</w:t>
      </w:r>
      <w:proofErr w:type="spellEnd"/>
      <w:r w:rsidRPr="0067075A">
        <w:rPr>
          <w:iCs/>
          <w:lang w:bidi="ru-RU"/>
        </w:rPr>
        <w:t xml:space="preserve"> Плюс пациентам с нарушениями функции печени от легкой до умеренной степени тяжести (см. раздел</w:t>
      </w:r>
      <w:r w:rsidR="002843C5" w:rsidRPr="0067075A">
        <w:rPr>
          <w:iCs/>
          <w:lang w:bidi="ru-RU"/>
        </w:rPr>
        <w:t>ы</w:t>
      </w:r>
      <w:r w:rsidRPr="0067075A">
        <w:rPr>
          <w:iCs/>
          <w:lang w:bidi="ru-RU"/>
        </w:rPr>
        <w:t xml:space="preserve"> 4.2, 4.3 и 5.2).</w:t>
      </w:r>
    </w:p>
    <w:p w14:paraId="3FCF64B6" w14:textId="77777777" w:rsidR="00D674CA" w:rsidRPr="0067075A" w:rsidRDefault="00D674CA" w:rsidP="00D674CA">
      <w:pPr>
        <w:pStyle w:val="Style14"/>
        <w:jc w:val="both"/>
        <w:rPr>
          <w:rStyle w:val="FontStyle18"/>
          <w:b w:val="0"/>
          <w:bCs w:val="0"/>
          <w:iCs w:val="0"/>
          <w:sz w:val="24"/>
          <w:szCs w:val="24"/>
        </w:rPr>
      </w:pPr>
      <w:r w:rsidRPr="0067075A">
        <w:rPr>
          <w:rStyle w:val="FontStyle18"/>
          <w:b w:val="0"/>
          <w:bCs w:val="0"/>
          <w:iCs w:val="0"/>
          <w:sz w:val="24"/>
          <w:szCs w:val="24"/>
        </w:rPr>
        <w:t>Вспомогательные вещества</w:t>
      </w:r>
    </w:p>
    <w:p w14:paraId="125762F3" w14:textId="77777777" w:rsidR="00D674CA" w:rsidRPr="0067075A" w:rsidRDefault="00D674CA" w:rsidP="00D674CA">
      <w:pPr>
        <w:pStyle w:val="Style14"/>
        <w:widowControl/>
        <w:jc w:val="both"/>
        <w:rPr>
          <w:rStyle w:val="FontStyle18"/>
          <w:b w:val="0"/>
          <w:bCs w:val="0"/>
          <w:i w:val="0"/>
          <w:sz w:val="24"/>
          <w:szCs w:val="24"/>
        </w:rPr>
      </w:pPr>
      <w:r w:rsidRPr="0067075A">
        <w:rPr>
          <w:rStyle w:val="FontStyle18"/>
          <w:b w:val="0"/>
          <w:bCs w:val="0"/>
          <w:i w:val="0"/>
          <w:sz w:val="24"/>
          <w:szCs w:val="24"/>
        </w:rPr>
        <w:t xml:space="preserve">В составе данного лекарственного препарата присутствует краситель </w:t>
      </w:r>
      <w:r w:rsidR="005872B7" w:rsidRPr="0067075A">
        <w:rPr>
          <w:rStyle w:val="FontStyle18"/>
          <w:b w:val="0"/>
          <w:bCs w:val="0"/>
          <w:i w:val="0"/>
          <w:sz w:val="24"/>
          <w:szCs w:val="24"/>
        </w:rPr>
        <w:t>солнечный закат желтый (FCF) (FD&amp;C желтый №6) (Е 110)</w:t>
      </w:r>
      <w:r w:rsidRPr="0067075A">
        <w:rPr>
          <w:rStyle w:val="FontStyle18"/>
          <w:b w:val="0"/>
          <w:bCs w:val="0"/>
          <w:i w:val="0"/>
          <w:sz w:val="24"/>
          <w:szCs w:val="24"/>
        </w:rPr>
        <w:t>, способный вызывать аллергические реакции.</w:t>
      </w:r>
    </w:p>
    <w:bookmarkEnd w:id="7"/>
    <w:p w14:paraId="3D7BCD08" w14:textId="77777777" w:rsidR="00500041" w:rsidRPr="0067075A" w:rsidRDefault="00500041" w:rsidP="00563B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75940E" w14:textId="77777777" w:rsidR="007D0E84" w:rsidRPr="0067075A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26BDC95C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Исследования лекарственного взаимодействия </w:t>
      </w:r>
      <w:r w:rsidR="00145E30" w:rsidRPr="0067075A">
        <w:rPr>
          <w:rFonts w:ascii="Times New Roman" w:hAnsi="Times New Roman"/>
          <w:sz w:val="24"/>
          <w:szCs w:val="24"/>
        </w:rPr>
        <w:t xml:space="preserve">комбинации </w:t>
      </w:r>
      <w:proofErr w:type="spellStart"/>
      <w:r w:rsidR="00145E30" w:rsidRPr="0067075A">
        <w:rPr>
          <w:rFonts w:ascii="Times New Roman" w:hAnsi="Times New Roman"/>
          <w:sz w:val="24"/>
          <w:szCs w:val="24"/>
        </w:rPr>
        <w:t>дутастерид-тамсулозин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не проводились. Приведенные ниже данные отражают информацию, имеющуюся для отдельных компонентов.</w:t>
      </w:r>
    </w:p>
    <w:p w14:paraId="59E293F4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7075A">
        <w:rPr>
          <w:rFonts w:ascii="Times New Roman" w:hAnsi="Times New Roman"/>
          <w:i/>
          <w:iCs/>
          <w:sz w:val="24"/>
          <w:szCs w:val="24"/>
        </w:rPr>
        <w:t>Дутастерид</w:t>
      </w:r>
      <w:proofErr w:type="spellEnd"/>
    </w:p>
    <w:p w14:paraId="6452E70F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Информация о снижении уровня ПСА в сыворотке крови во время лечения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дутастеридом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 рекомендации в отношении диагностики рака предстательной железы представлены в разделе 4.4.</w:t>
      </w:r>
    </w:p>
    <w:p w14:paraId="5B77081C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7075A">
        <w:rPr>
          <w:rFonts w:ascii="Times New Roman" w:hAnsi="Times New Roman"/>
          <w:i/>
          <w:iCs/>
          <w:sz w:val="24"/>
          <w:szCs w:val="24"/>
        </w:rPr>
        <w:t xml:space="preserve">Влияние других лекарственных средств на фармакокинетику </w:t>
      </w:r>
      <w:proofErr w:type="spellStart"/>
      <w:r w:rsidRPr="0067075A">
        <w:rPr>
          <w:rFonts w:ascii="Times New Roman" w:hAnsi="Times New Roman"/>
          <w:i/>
          <w:iCs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07EF5F7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75A">
        <w:rPr>
          <w:rFonts w:ascii="Times New Roman" w:hAnsi="Times New Roman"/>
          <w:sz w:val="24"/>
          <w:szCs w:val="24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преимущественно выводится путем метаболизма. Исследования </w:t>
      </w:r>
      <w:proofErr w:type="spellStart"/>
      <w:r w:rsidRPr="0067075A">
        <w:rPr>
          <w:rFonts w:ascii="Times New Roman" w:hAnsi="Times New Roman"/>
          <w:sz w:val="24"/>
          <w:szCs w:val="24"/>
        </w:rPr>
        <w:t>in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75A">
        <w:rPr>
          <w:rFonts w:ascii="Times New Roman" w:hAnsi="Times New Roman"/>
          <w:sz w:val="24"/>
          <w:szCs w:val="24"/>
        </w:rPr>
        <w:t>vitro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показывают, что катализаторами метаболизма являются CYP3A4 и CYP3A5. Официальных исследований взаимодействия с сильнодействующими ингибиторами CYP3A4 не проводилось. Однако, в популяционном фармакокинетическом исследовании, у небольшого количества пациентов, одновременно получавших </w:t>
      </w:r>
      <w:proofErr w:type="spellStart"/>
      <w:r w:rsidRPr="0067075A">
        <w:rPr>
          <w:rFonts w:ascii="Times New Roman" w:hAnsi="Times New Roman"/>
          <w:sz w:val="24"/>
          <w:szCs w:val="24"/>
        </w:rPr>
        <w:t>верапамил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или дилтиазем (умеренные ингибиторы CYP3A4 и ингибиторы Р- гликопротеина), концентрации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в сыворотке крови были в среднем в 1.6-1.8 раз выше, чем у других пациентов. </w:t>
      </w:r>
    </w:p>
    <w:p w14:paraId="21AEA567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Долгосрочное применение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в комбинации с другими лекарственными препаратами, которые являются сильнодействующими ингибиторами фермента CYP3A4 (например, такие препараты для приема внутрь как </w:t>
      </w:r>
      <w:proofErr w:type="spellStart"/>
      <w:r w:rsidRPr="0067075A">
        <w:rPr>
          <w:rFonts w:ascii="Times New Roman" w:hAnsi="Times New Roman"/>
          <w:sz w:val="24"/>
          <w:szCs w:val="24"/>
        </w:rPr>
        <w:t>ритонавир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75A">
        <w:rPr>
          <w:rFonts w:ascii="Times New Roman" w:hAnsi="Times New Roman"/>
          <w:sz w:val="24"/>
          <w:szCs w:val="24"/>
        </w:rPr>
        <w:t>индинавир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75A">
        <w:rPr>
          <w:rFonts w:ascii="Times New Roman" w:hAnsi="Times New Roman"/>
          <w:sz w:val="24"/>
          <w:szCs w:val="24"/>
        </w:rPr>
        <w:t>нефазодон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75A">
        <w:rPr>
          <w:rFonts w:ascii="Times New Roman" w:hAnsi="Times New Roman"/>
          <w:sz w:val="24"/>
          <w:szCs w:val="24"/>
        </w:rPr>
        <w:t>интраконазол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75A">
        <w:rPr>
          <w:rFonts w:ascii="Times New Roman" w:hAnsi="Times New Roman"/>
          <w:sz w:val="24"/>
          <w:szCs w:val="24"/>
        </w:rPr>
        <w:t>кетоконазол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), может повышать концентрацию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в сыворотке крови. Дальнейшее ингибирование 5-альфа-редуктазы при увеличении воздействия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маловероятно. Однако, при появлении побочных реакций можно рассмотреть возможность снижения частоты дозирования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. Следует отметить, что в случае ингибирования фермента, длительный период полувыведения способен дополнительно увеличиться, что может потребовать применение одновременной терапии в течении более 6 месяцев для достижения новой равновесной концентрации. </w:t>
      </w:r>
    </w:p>
    <w:p w14:paraId="440C1B63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Введение 12 г </w:t>
      </w:r>
      <w:proofErr w:type="spellStart"/>
      <w:r w:rsidRPr="0067075A">
        <w:rPr>
          <w:rFonts w:ascii="Times New Roman" w:hAnsi="Times New Roman"/>
          <w:sz w:val="24"/>
          <w:szCs w:val="24"/>
        </w:rPr>
        <w:t>холестирамина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через один час после однократного приема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в дозе 5 мг не оказало влияния на фармакокинетику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</w:rPr>
        <w:t>.</w:t>
      </w:r>
    </w:p>
    <w:p w14:paraId="1F83886F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7075A">
        <w:rPr>
          <w:rFonts w:ascii="Times New Roman" w:hAnsi="Times New Roman"/>
          <w:i/>
          <w:iCs/>
          <w:sz w:val="24"/>
          <w:szCs w:val="24"/>
        </w:rPr>
        <w:t xml:space="preserve">Влияние </w:t>
      </w:r>
      <w:proofErr w:type="spellStart"/>
      <w:r w:rsidRPr="0067075A">
        <w:rPr>
          <w:rFonts w:ascii="Times New Roman" w:hAnsi="Times New Roman"/>
          <w:i/>
          <w:iCs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i/>
          <w:iCs/>
          <w:sz w:val="24"/>
          <w:szCs w:val="24"/>
        </w:rPr>
        <w:t xml:space="preserve"> на фармакокинетику других лекарственных препаратов</w:t>
      </w:r>
    </w:p>
    <w:p w14:paraId="1415D5DB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В небольшом исследовании (n = 24) продолжительностью в две недели с участием здоровых мужчин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(0.5 мг в сутки) не оказывал влияния на фармакокинетику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67075A">
        <w:rPr>
          <w:rFonts w:ascii="Times New Roman" w:hAnsi="Times New Roman"/>
          <w:sz w:val="24"/>
          <w:szCs w:val="24"/>
        </w:rPr>
        <w:t>теразозина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. В данном исследовании также не наблюдалось фармакодинамического взаимодействия. </w:t>
      </w:r>
    </w:p>
    <w:p w14:paraId="24B9E9A2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75A">
        <w:rPr>
          <w:rFonts w:ascii="Times New Roman" w:hAnsi="Times New Roman"/>
          <w:sz w:val="24"/>
          <w:szCs w:val="24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не оказывает влияния на фармакокинетику варфарина или дигоксина. Это означает, что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не ингибирует/не индуцирует фермент CYP2С9 или переносчик Р-гликопротеина. Исследования взаимодействия </w:t>
      </w:r>
      <w:proofErr w:type="spellStart"/>
      <w:r w:rsidRPr="0067075A">
        <w:rPr>
          <w:rFonts w:ascii="Times New Roman" w:hAnsi="Times New Roman"/>
          <w:sz w:val="24"/>
          <w:szCs w:val="24"/>
        </w:rPr>
        <w:t>in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75A">
        <w:rPr>
          <w:rFonts w:ascii="Times New Roman" w:hAnsi="Times New Roman"/>
          <w:sz w:val="24"/>
          <w:szCs w:val="24"/>
        </w:rPr>
        <w:t>vitro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показывают, что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не ингибирует ферменты CYP1A2, CYP2D6, CYP2C9, CYP2C19 или CYP3A4. </w:t>
      </w:r>
    </w:p>
    <w:p w14:paraId="0B44B2BD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7075A">
        <w:rPr>
          <w:rFonts w:ascii="Times New Roman" w:hAnsi="Times New Roman"/>
          <w:i/>
          <w:iCs/>
          <w:sz w:val="24"/>
          <w:szCs w:val="24"/>
        </w:rPr>
        <w:t>Тамсулозин</w:t>
      </w:r>
      <w:proofErr w:type="spellEnd"/>
      <w:r w:rsidRPr="0067075A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589A9B1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Одновременный прием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с препаратами, снижающими артериальное давление, включая анестетики, ингибиторы ФДЭ-5 и другие антагонисты альфа1-адренорецепторов, может привести к усилению гипотензивного действия. Не следует </w:t>
      </w:r>
      <w:r w:rsidRPr="0067075A">
        <w:rPr>
          <w:rFonts w:ascii="Times New Roman" w:hAnsi="Times New Roman"/>
          <w:sz w:val="24"/>
          <w:szCs w:val="24"/>
        </w:rPr>
        <w:lastRenderedPageBreak/>
        <w:t xml:space="preserve">применять комбинацию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дутастерид-тамсулозин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совместно с другими антагонистами альфа1-адренорецепторов. </w:t>
      </w:r>
    </w:p>
    <w:p w14:paraId="6D3FCB82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Одновременный прием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гидрохлорида и </w:t>
      </w:r>
      <w:proofErr w:type="spellStart"/>
      <w:r w:rsidRPr="0067075A">
        <w:rPr>
          <w:rFonts w:ascii="Times New Roman" w:hAnsi="Times New Roman"/>
          <w:sz w:val="24"/>
          <w:szCs w:val="24"/>
        </w:rPr>
        <w:t>кетоконазола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(сильный ингибитор CYP3A4) привел к увеличению </w:t>
      </w:r>
      <w:proofErr w:type="spellStart"/>
      <w:r w:rsidRPr="0067075A">
        <w:rPr>
          <w:rFonts w:ascii="Times New Roman" w:hAnsi="Times New Roman"/>
          <w:sz w:val="24"/>
          <w:szCs w:val="24"/>
        </w:rPr>
        <w:t>Cmax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 AUC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гидрохлорида в 2.2 и 2.8 раза, соответственно. Одновременный прием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гидрохлорида и </w:t>
      </w:r>
      <w:proofErr w:type="spellStart"/>
      <w:r w:rsidRPr="0067075A">
        <w:rPr>
          <w:rFonts w:ascii="Times New Roman" w:hAnsi="Times New Roman"/>
          <w:sz w:val="24"/>
          <w:szCs w:val="24"/>
        </w:rPr>
        <w:t>пароксетина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(сильный ингибитор CYP2D6) привел к увеличению </w:t>
      </w:r>
      <w:proofErr w:type="spellStart"/>
      <w:r w:rsidRPr="0067075A">
        <w:rPr>
          <w:rFonts w:ascii="Times New Roman" w:hAnsi="Times New Roman"/>
          <w:sz w:val="24"/>
          <w:szCs w:val="24"/>
        </w:rPr>
        <w:t>Cmax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 AUC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гидрохлорида в 1.3 и 1.6 раза, соответственно. Аналогичное увеличение воздействия ожидается у пациентов с медленным метаболизмом CYP2D6, по сравнению с пациентами с быстрым метаболизмом, при одновременном применении с сильным ингибитором CYP3A4. Влияние одновременного приема ингибиторов CYP3A4 и CYP2D6 с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гидрохлоридом не оценивалось в клинической практике, однако существует вероятность значительного увеличения воздействия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(см. раздел 4.4). </w:t>
      </w:r>
    </w:p>
    <w:p w14:paraId="436F1CC2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Одновременный прием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гидрохлорида (0.4 мг) и </w:t>
      </w:r>
      <w:proofErr w:type="spellStart"/>
      <w:r w:rsidRPr="0067075A">
        <w:rPr>
          <w:rFonts w:ascii="Times New Roman" w:hAnsi="Times New Roman"/>
          <w:sz w:val="24"/>
          <w:szCs w:val="24"/>
        </w:rPr>
        <w:t>циметидина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(400 мг каждые шесть часов в течение шести суток) привел к снижению клиренса (26%) и увеличению AUC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гидрохлорида (44%). Следует с осторожностью применять комбинацию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дутастерид-тамсулозин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совместно с </w:t>
      </w:r>
      <w:proofErr w:type="spellStart"/>
      <w:r w:rsidRPr="0067075A">
        <w:rPr>
          <w:rFonts w:ascii="Times New Roman" w:hAnsi="Times New Roman"/>
          <w:sz w:val="24"/>
          <w:szCs w:val="24"/>
        </w:rPr>
        <w:t>циметидином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. </w:t>
      </w:r>
    </w:p>
    <w:p w14:paraId="18AF12EC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Полного исследования лекарственного взаимодействия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гидрохлорида с варфарином не проводилось. Результаты ограниченных исследований </w:t>
      </w:r>
      <w:proofErr w:type="spellStart"/>
      <w:r w:rsidRPr="0067075A">
        <w:rPr>
          <w:rFonts w:ascii="Times New Roman" w:hAnsi="Times New Roman"/>
          <w:sz w:val="24"/>
          <w:szCs w:val="24"/>
        </w:rPr>
        <w:t>in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75A">
        <w:rPr>
          <w:rFonts w:ascii="Times New Roman" w:hAnsi="Times New Roman"/>
          <w:sz w:val="24"/>
          <w:szCs w:val="24"/>
        </w:rPr>
        <w:t>vitro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</w:rPr>
        <w:t>in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75A">
        <w:rPr>
          <w:rFonts w:ascii="Times New Roman" w:hAnsi="Times New Roman"/>
          <w:sz w:val="24"/>
          <w:szCs w:val="24"/>
        </w:rPr>
        <w:t>vivo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не позволяют сделать окончательные выводы. Однако, диклофенак и варфарин могут повышать скорость выведения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. Следует соблюдать осторожность при одновременном применении варфарина и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гидрохлорида.</w:t>
      </w:r>
    </w:p>
    <w:p w14:paraId="0F75B66A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Не наблюдалось взаимодействий при одновременном применении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гидрохлорида с атенололом, </w:t>
      </w:r>
      <w:proofErr w:type="spellStart"/>
      <w:r w:rsidRPr="0067075A">
        <w:rPr>
          <w:rFonts w:ascii="Times New Roman" w:hAnsi="Times New Roman"/>
          <w:sz w:val="24"/>
          <w:szCs w:val="24"/>
        </w:rPr>
        <w:t>эналаприлом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75A">
        <w:rPr>
          <w:rFonts w:ascii="Times New Roman" w:hAnsi="Times New Roman"/>
          <w:sz w:val="24"/>
          <w:szCs w:val="24"/>
        </w:rPr>
        <w:t>нифедипином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или теофиллином. Одновременный прием с фуросемидом вызывает снижение уровня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в плазме крови, но поскольку уровни остаются в пределах нормального диапазона, коррекция дозы не требуется.</w:t>
      </w:r>
    </w:p>
    <w:p w14:paraId="31E3A958" w14:textId="77777777" w:rsidR="00857EBB" w:rsidRPr="0067075A" w:rsidRDefault="00623510" w:rsidP="0062351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</w:rPr>
        <w:t xml:space="preserve">В условиях </w:t>
      </w:r>
      <w:proofErr w:type="spellStart"/>
      <w:r w:rsidRPr="0067075A">
        <w:rPr>
          <w:rFonts w:ascii="Times New Roman" w:hAnsi="Times New Roman"/>
          <w:sz w:val="24"/>
          <w:szCs w:val="24"/>
        </w:rPr>
        <w:t>in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75A">
        <w:rPr>
          <w:rFonts w:ascii="Times New Roman" w:hAnsi="Times New Roman"/>
          <w:sz w:val="24"/>
          <w:szCs w:val="24"/>
        </w:rPr>
        <w:t>vitro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диазепам, </w:t>
      </w:r>
      <w:proofErr w:type="spellStart"/>
      <w:r w:rsidRPr="0067075A">
        <w:rPr>
          <w:rFonts w:ascii="Times New Roman" w:hAnsi="Times New Roman"/>
          <w:sz w:val="24"/>
          <w:szCs w:val="24"/>
        </w:rPr>
        <w:t>пропранолол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75A">
        <w:rPr>
          <w:rFonts w:ascii="Times New Roman" w:hAnsi="Times New Roman"/>
          <w:sz w:val="24"/>
          <w:szCs w:val="24"/>
        </w:rPr>
        <w:t>трихлорметизиад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75A">
        <w:rPr>
          <w:rFonts w:ascii="Times New Roman" w:hAnsi="Times New Roman"/>
          <w:sz w:val="24"/>
          <w:szCs w:val="24"/>
        </w:rPr>
        <w:t>хлормадинон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амитриптилин, диклофенак, </w:t>
      </w:r>
      <w:proofErr w:type="spellStart"/>
      <w:r w:rsidRPr="0067075A">
        <w:rPr>
          <w:rFonts w:ascii="Times New Roman" w:hAnsi="Times New Roman"/>
          <w:sz w:val="24"/>
          <w:szCs w:val="24"/>
        </w:rPr>
        <w:t>глибенкламид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75A">
        <w:rPr>
          <w:rFonts w:ascii="Times New Roman" w:hAnsi="Times New Roman"/>
          <w:sz w:val="24"/>
          <w:szCs w:val="24"/>
        </w:rPr>
        <w:t>симвастин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не меняли свободную фракцию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в плазме крови человека.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также не менял свободные фракции диазепама, </w:t>
      </w:r>
      <w:proofErr w:type="spellStart"/>
      <w:r w:rsidRPr="0067075A">
        <w:rPr>
          <w:rFonts w:ascii="Times New Roman" w:hAnsi="Times New Roman"/>
          <w:sz w:val="24"/>
          <w:szCs w:val="24"/>
        </w:rPr>
        <w:t>пропранолола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75A">
        <w:rPr>
          <w:rFonts w:ascii="Times New Roman" w:hAnsi="Times New Roman"/>
          <w:sz w:val="24"/>
          <w:szCs w:val="24"/>
        </w:rPr>
        <w:t>трихлорметиазида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</w:rPr>
        <w:t>хлормадинона</w:t>
      </w:r>
      <w:proofErr w:type="spellEnd"/>
      <w:r w:rsidRPr="0067075A">
        <w:rPr>
          <w:rFonts w:ascii="Times New Roman" w:hAnsi="Times New Roman"/>
          <w:sz w:val="24"/>
          <w:szCs w:val="24"/>
        </w:rPr>
        <w:t>.</w:t>
      </w:r>
    </w:p>
    <w:p w14:paraId="05E46E96" w14:textId="77777777" w:rsidR="00B05BD1" w:rsidRPr="0067075A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 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27732D43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kk-KZ"/>
        </w:rPr>
      </w:pPr>
      <w:bookmarkStart w:id="10" w:name="_Hlk55307311"/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Лекарственный препарат </w:t>
      </w:r>
      <w:proofErr w:type="spellStart"/>
      <w:r w:rsidRPr="0067075A">
        <w:rPr>
          <w:rFonts w:ascii="Times New Roman" w:hAnsi="Times New Roman"/>
          <w:iCs/>
          <w:color w:val="000000"/>
          <w:sz w:val="24"/>
          <w:szCs w:val="24"/>
        </w:rPr>
        <w:t>Дутабит</w:t>
      </w:r>
      <w:proofErr w:type="spellEnd"/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 Плюс противопоказан для применения у женщин. Исследования влияния комбинации </w:t>
      </w:r>
      <w:proofErr w:type="spellStart"/>
      <w:r w:rsidRPr="0067075A">
        <w:rPr>
          <w:rFonts w:ascii="Times New Roman" w:hAnsi="Times New Roman"/>
          <w:iCs/>
          <w:color w:val="000000"/>
          <w:sz w:val="24"/>
          <w:szCs w:val="24"/>
        </w:rPr>
        <w:t>дутастерид-тамсулозин</w:t>
      </w:r>
      <w:proofErr w:type="spellEnd"/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 на беременность, грудное вскармливание и фертильность не проводилось. Информация, представленная ниже, получена в результате исследований отдельных компонентов препарата (см. раздел 5.3).</w:t>
      </w:r>
    </w:p>
    <w:p w14:paraId="089C22BC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7075A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68ED2D08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Как и другие ингибиторы 5-альфа редуктазы, </w:t>
      </w:r>
      <w:proofErr w:type="spellStart"/>
      <w:r w:rsidRPr="0067075A">
        <w:rPr>
          <w:rFonts w:ascii="Times New Roman" w:hAnsi="Times New Roman"/>
          <w:iCs/>
          <w:color w:val="000000"/>
          <w:sz w:val="24"/>
          <w:szCs w:val="24"/>
        </w:rPr>
        <w:t>дутастерид</w:t>
      </w:r>
      <w:proofErr w:type="spellEnd"/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 ингибирует превращение тестостерона в </w:t>
      </w:r>
      <w:proofErr w:type="spellStart"/>
      <w:r w:rsidRPr="0067075A">
        <w:rPr>
          <w:rFonts w:ascii="Times New Roman" w:hAnsi="Times New Roman"/>
          <w:iCs/>
          <w:color w:val="000000"/>
          <w:sz w:val="24"/>
          <w:szCs w:val="24"/>
        </w:rPr>
        <w:t>дигидротестостерон</w:t>
      </w:r>
      <w:proofErr w:type="spellEnd"/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, и при приеме женщиной, беременной плодом мужского пола может ингибировать развитие наружных половых органов у плода (см. раздел 4.4). В сперме пациентов, получающих </w:t>
      </w:r>
      <w:proofErr w:type="spellStart"/>
      <w:r w:rsidRPr="0067075A">
        <w:rPr>
          <w:rFonts w:ascii="Times New Roman" w:hAnsi="Times New Roman"/>
          <w:iCs/>
          <w:color w:val="000000"/>
          <w:sz w:val="24"/>
          <w:szCs w:val="24"/>
        </w:rPr>
        <w:t>дутастерид</w:t>
      </w:r>
      <w:proofErr w:type="spellEnd"/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 были обнаружены небольшие количества </w:t>
      </w:r>
      <w:proofErr w:type="spellStart"/>
      <w:r w:rsidRPr="0067075A">
        <w:rPr>
          <w:rFonts w:ascii="Times New Roman" w:hAnsi="Times New Roman"/>
          <w:iCs/>
          <w:color w:val="000000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. Неизвестно, окажет ли </w:t>
      </w:r>
      <w:proofErr w:type="spellStart"/>
      <w:r w:rsidRPr="0067075A">
        <w:rPr>
          <w:rFonts w:ascii="Times New Roman" w:hAnsi="Times New Roman"/>
          <w:iCs/>
          <w:color w:val="000000"/>
          <w:sz w:val="24"/>
          <w:szCs w:val="24"/>
        </w:rPr>
        <w:t>дутастерид</w:t>
      </w:r>
      <w:proofErr w:type="spellEnd"/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 негативное воздействие на плод мужского пола, при попадании в организм беременной женщины вместе со спермой мужчины, получающего лечение </w:t>
      </w:r>
      <w:proofErr w:type="spellStart"/>
      <w:r w:rsidRPr="0067075A">
        <w:rPr>
          <w:rFonts w:ascii="Times New Roman" w:hAnsi="Times New Roman"/>
          <w:iCs/>
          <w:color w:val="000000"/>
          <w:sz w:val="24"/>
          <w:szCs w:val="24"/>
        </w:rPr>
        <w:t>дутастеридом</w:t>
      </w:r>
      <w:proofErr w:type="spellEnd"/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, (риск которого наиболее высок в течение первых 16 недель беременности). </w:t>
      </w:r>
    </w:p>
    <w:p w14:paraId="6DE58896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Как и в случае приема других ингибиторов 5-альфа редуктазы, при беременности или возможной беременности партнерши, пациентам рекомендуется использовать презерватив, во избежание контакта женского организма со спермой. </w:t>
      </w:r>
    </w:p>
    <w:p w14:paraId="19B5C5ED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При введении </w:t>
      </w:r>
      <w:proofErr w:type="spellStart"/>
      <w:r w:rsidRPr="0067075A">
        <w:rPr>
          <w:rFonts w:ascii="Times New Roman" w:hAnsi="Times New Roman"/>
          <w:iCs/>
          <w:color w:val="000000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 гидрохлорида беременным самкам крыс и кроликов не наблюдалось признаков вредного воздействия на плод.</w:t>
      </w:r>
    </w:p>
    <w:p w14:paraId="6D76CA12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7075A">
        <w:rPr>
          <w:rFonts w:ascii="Times New Roman" w:hAnsi="Times New Roman"/>
          <w:iCs/>
          <w:color w:val="000000"/>
          <w:sz w:val="24"/>
          <w:szCs w:val="24"/>
        </w:rPr>
        <w:t>Для получения информации о доклинических данных см. раздел 5.3.</w:t>
      </w:r>
    </w:p>
    <w:p w14:paraId="0132FE7E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7075A">
        <w:rPr>
          <w:rFonts w:ascii="Times New Roman" w:hAnsi="Times New Roman"/>
          <w:i/>
          <w:color w:val="000000"/>
          <w:sz w:val="24"/>
          <w:szCs w:val="24"/>
        </w:rPr>
        <w:lastRenderedPageBreak/>
        <w:t>Кормление грудью</w:t>
      </w:r>
    </w:p>
    <w:p w14:paraId="1C59D542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Неизвестно приникает ли </w:t>
      </w:r>
      <w:proofErr w:type="spellStart"/>
      <w:r w:rsidRPr="0067075A">
        <w:rPr>
          <w:rFonts w:ascii="Times New Roman" w:hAnsi="Times New Roman"/>
          <w:iCs/>
          <w:color w:val="000000"/>
          <w:sz w:val="24"/>
          <w:szCs w:val="24"/>
        </w:rPr>
        <w:t>дутастерид</w:t>
      </w:r>
      <w:proofErr w:type="spellEnd"/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 или </w:t>
      </w:r>
      <w:proofErr w:type="spellStart"/>
      <w:r w:rsidRPr="0067075A">
        <w:rPr>
          <w:rFonts w:ascii="Times New Roman" w:hAnsi="Times New Roman"/>
          <w:iCs/>
          <w:color w:val="000000"/>
          <w:sz w:val="24"/>
          <w:szCs w:val="24"/>
        </w:rPr>
        <w:t>тамсулозин</w:t>
      </w:r>
      <w:proofErr w:type="spellEnd"/>
      <w:r w:rsidRPr="0067075A">
        <w:rPr>
          <w:rFonts w:ascii="Times New Roman" w:hAnsi="Times New Roman"/>
          <w:iCs/>
          <w:color w:val="000000"/>
          <w:sz w:val="24"/>
          <w:szCs w:val="24"/>
        </w:rPr>
        <w:t xml:space="preserve"> в грудное молоко.</w:t>
      </w:r>
    </w:p>
    <w:p w14:paraId="3D570245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7075A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4DFEE65F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Сообщалось о влиянии </w:t>
      </w:r>
      <w:proofErr w:type="spellStart"/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характеристики спермы (снижение количества и подвижности сперматозоидов, уменьшение объема спермы) у здоровых мужчин (см. раздел 5.1). Нельзя исключать возможность снижения мужской фертильности.</w:t>
      </w:r>
    </w:p>
    <w:p w14:paraId="46D8AFD1" w14:textId="77777777" w:rsidR="00623510" w:rsidRPr="0067075A" w:rsidRDefault="00623510" w:rsidP="0062351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Влияние </w:t>
      </w:r>
      <w:proofErr w:type="spellStart"/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гидрохлорида на количество и функцию сперматозоидов не оценивалось.</w:t>
      </w:r>
    </w:p>
    <w:bookmarkEnd w:id="10"/>
    <w:p w14:paraId="01DDAE96" w14:textId="77777777" w:rsidR="00215EE2" w:rsidRPr="0067075A" w:rsidRDefault="00215EE2" w:rsidP="00215E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7F52D0" w14:textId="77777777" w:rsidR="00CE7F7F" w:rsidRPr="0067075A" w:rsidRDefault="00DB406A" w:rsidP="00CE7F7F">
      <w:pPr>
        <w:spacing w:after="0" w:line="240" w:lineRule="auto"/>
        <w:jc w:val="both"/>
        <w:rPr>
          <w:b/>
          <w:i/>
          <w:sz w:val="24"/>
          <w:szCs w:val="24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67075A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1" w:name="2175220282"/>
    </w:p>
    <w:p w14:paraId="1F98B063" w14:textId="77777777" w:rsidR="009C2D01" w:rsidRPr="0067075A" w:rsidRDefault="00623510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_Hlk69983717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проводилось исследований влияния лекарственного препарата </w:t>
      </w:r>
      <w:proofErr w:type="spellStart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137D48" w:rsidRPr="0067075A">
        <w:rPr>
          <w:rFonts w:ascii="Times New Roman" w:eastAsia="Times New Roman" w:hAnsi="Times New Roman"/>
          <w:sz w:val="24"/>
          <w:szCs w:val="24"/>
          <w:lang w:eastAsia="ru-RU"/>
        </w:rPr>
        <w:t>утабит</w:t>
      </w:r>
      <w:proofErr w:type="spellEnd"/>
      <w:r w:rsidR="00137D48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Плюс</w:t>
      </w:r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способность управлять автомобилем и работу с механизмами. Однако, следует проинформировать пациентов, что при приеме </w:t>
      </w:r>
      <w:r w:rsidR="00137D48"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комбинации </w:t>
      </w:r>
      <w:proofErr w:type="spellStart"/>
      <w:r w:rsidR="00137D48" w:rsidRPr="0067075A">
        <w:rPr>
          <w:rFonts w:ascii="Times New Roman" w:eastAsia="Times New Roman" w:hAnsi="Times New Roman"/>
          <w:sz w:val="24"/>
          <w:szCs w:val="24"/>
          <w:lang w:eastAsia="ru-RU"/>
        </w:rPr>
        <w:t>дутастерид-тамсулозин</w:t>
      </w:r>
      <w:proofErr w:type="spellEnd"/>
      <w:r w:rsidRPr="0067075A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возникновение симптомов, связанных с ортостатической гипотонией, таких как головокружение.</w:t>
      </w:r>
    </w:p>
    <w:bookmarkEnd w:id="12"/>
    <w:p w14:paraId="3FB380A2" w14:textId="77777777" w:rsidR="00623510" w:rsidRPr="0067075A" w:rsidRDefault="0062351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5AA94E" w14:textId="77777777" w:rsidR="009D67EC" w:rsidRPr="0067075A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11"/>
    </w:p>
    <w:p w14:paraId="051E091B" w14:textId="77777777" w:rsidR="00AF63F7" w:rsidRPr="0067075A" w:rsidRDefault="00AF63F7" w:rsidP="00AF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_Hlk50389624"/>
      <w:r w:rsidRPr="0067075A">
        <w:rPr>
          <w:rFonts w:ascii="Times New Roman" w:hAnsi="Times New Roman"/>
          <w:sz w:val="24"/>
          <w:szCs w:val="24"/>
        </w:rPr>
        <w:t xml:space="preserve">Ниже представлены данные относительно совместного применения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полученные по результатам анализа 4-летнего исследования </w:t>
      </w:r>
      <w:proofErr w:type="spellStart"/>
      <w:r w:rsidRPr="0067075A">
        <w:rPr>
          <w:rFonts w:ascii="Times New Roman" w:hAnsi="Times New Roman"/>
          <w:sz w:val="24"/>
          <w:szCs w:val="24"/>
        </w:rPr>
        <w:t>CombAT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(Комбинация </w:t>
      </w:r>
      <w:proofErr w:type="spellStart"/>
      <w:r w:rsidRPr="0067075A">
        <w:rPr>
          <w:rFonts w:ascii="Times New Roman" w:hAnsi="Times New Roman"/>
          <w:sz w:val="24"/>
          <w:szCs w:val="24"/>
        </w:rPr>
        <w:t>Аводарта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), в ходе которого сравнивали применение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в дозе 0.5 мг и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в дозе 0.4 мг один раз в сутки в течение четырех лет при совместном приеме или в качестве </w:t>
      </w:r>
      <w:proofErr w:type="spellStart"/>
      <w:r w:rsidRPr="0067075A">
        <w:rPr>
          <w:rFonts w:ascii="Times New Roman" w:hAnsi="Times New Roman"/>
          <w:sz w:val="24"/>
          <w:szCs w:val="24"/>
        </w:rPr>
        <w:t>монотерапии</w:t>
      </w:r>
      <w:proofErr w:type="spellEnd"/>
      <w:r w:rsidRPr="0067075A">
        <w:rPr>
          <w:rFonts w:ascii="Times New Roman" w:hAnsi="Times New Roman"/>
          <w:sz w:val="24"/>
          <w:szCs w:val="24"/>
        </w:rPr>
        <w:t>.</w:t>
      </w:r>
    </w:p>
    <w:p w14:paraId="6C4FF645" w14:textId="77777777" w:rsidR="00AF63F7" w:rsidRPr="0067075A" w:rsidRDefault="00AF63F7" w:rsidP="00AF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Доказана биоэквивалентность применения </w:t>
      </w:r>
      <w:r w:rsidR="007D47C9" w:rsidRPr="0067075A">
        <w:rPr>
          <w:rFonts w:ascii="Times New Roman" w:hAnsi="Times New Roman"/>
          <w:sz w:val="24"/>
          <w:szCs w:val="24"/>
        </w:rPr>
        <w:t xml:space="preserve">комбинации </w:t>
      </w:r>
      <w:proofErr w:type="spellStart"/>
      <w:r w:rsidR="007D47C9" w:rsidRPr="0067075A">
        <w:rPr>
          <w:rFonts w:ascii="Times New Roman" w:hAnsi="Times New Roman"/>
          <w:sz w:val="24"/>
          <w:szCs w:val="24"/>
        </w:rPr>
        <w:t>дутастерид-тамсулозин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 одновременного приема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(см. раздел 5.2).</w:t>
      </w:r>
    </w:p>
    <w:p w14:paraId="52A7AE60" w14:textId="77777777" w:rsidR="00AF63F7" w:rsidRPr="0067075A" w:rsidRDefault="00AF63F7" w:rsidP="00AF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Также представлена информация о профилях нежелательных явлений отдельных компонентов (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). Обратите внимание, что не все нежелательные явления, о которых сообщалось при приеме отдельных компонентов, наблюдались при приеме </w:t>
      </w:r>
      <w:r w:rsidR="007D47C9" w:rsidRPr="0067075A">
        <w:rPr>
          <w:rFonts w:ascii="Times New Roman" w:hAnsi="Times New Roman"/>
          <w:sz w:val="24"/>
          <w:szCs w:val="24"/>
        </w:rPr>
        <w:t xml:space="preserve">комбинации </w:t>
      </w:r>
      <w:proofErr w:type="spellStart"/>
      <w:r w:rsidR="007D47C9" w:rsidRPr="0067075A">
        <w:rPr>
          <w:rFonts w:ascii="Times New Roman" w:hAnsi="Times New Roman"/>
          <w:sz w:val="24"/>
          <w:szCs w:val="24"/>
        </w:rPr>
        <w:t>дутастерид-тамсулозин</w:t>
      </w:r>
      <w:proofErr w:type="spellEnd"/>
      <w:r w:rsidRPr="0067075A">
        <w:rPr>
          <w:rFonts w:ascii="Times New Roman" w:hAnsi="Times New Roman"/>
          <w:sz w:val="24"/>
          <w:szCs w:val="24"/>
        </w:rPr>
        <w:t>, тем не менее они включены для информирования лечащих врачей.</w:t>
      </w:r>
    </w:p>
    <w:p w14:paraId="05D975B7" w14:textId="77777777" w:rsidR="00AF63F7" w:rsidRPr="0067075A" w:rsidRDefault="00AF63F7" w:rsidP="00AF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Данные 4-летнего исследования </w:t>
      </w:r>
      <w:proofErr w:type="spellStart"/>
      <w:r w:rsidRPr="0067075A">
        <w:rPr>
          <w:rFonts w:ascii="Times New Roman" w:hAnsi="Times New Roman"/>
          <w:sz w:val="24"/>
          <w:szCs w:val="24"/>
        </w:rPr>
        <w:t>CombAT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показали, что частота возникновения нежелательных явлений, которые, по оценке исследователя, связаны с лечением, в ходе первого, второго, третьего и четвертого годов лечения составила соответственно 22%, 6%, 4% и 2% для комбинированной терапии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дутастеридом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тамсулозином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15%, 6%, 3% и 2% для </w:t>
      </w:r>
      <w:proofErr w:type="spellStart"/>
      <w:r w:rsidRPr="0067075A">
        <w:rPr>
          <w:rFonts w:ascii="Times New Roman" w:hAnsi="Times New Roman"/>
          <w:sz w:val="24"/>
          <w:szCs w:val="24"/>
        </w:rPr>
        <w:t>монотерапии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дутастеридом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и 13%, 5%, 2% и 2% для терапии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тамсулозином</w:t>
      </w:r>
      <w:proofErr w:type="spellEnd"/>
      <w:r w:rsidRPr="0067075A">
        <w:rPr>
          <w:rFonts w:ascii="Times New Roman" w:hAnsi="Times New Roman"/>
          <w:sz w:val="24"/>
          <w:szCs w:val="24"/>
        </w:rPr>
        <w:t>. Более высокая частота возникновения нежелательных явлений на протяжении первого года лечения в группе комбинированной терапии была связана с более высокой частотой нарушений репродуктивной функции, в частности, с нарушением эякуляции, наблюдаемым в данной группе.</w:t>
      </w:r>
    </w:p>
    <w:p w14:paraId="0285A2FC" w14:textId="77777777" w:rsidR="00AF63F7" w:rsidRPr="0067075A" w:rsidRDefault="00AF63F7" w:rsidP="00AF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В таблице ниже описаны нежелательные явления, которые, по оценке исследователя, связаны с приемом препаратов, о которых сообщалось с частотой не менее 1% в течении первого года исследования </w:t>
      </w:r>
      <w:proofErr w:type="spellStart"/>
      <w:r w:rsidRPr="0067075A">
        <w:rPr>
          <w:rFonts w:ascii="Times New Roman" w:hAnsi="Times New Roman"/>
          <w:sz w:val="24"/>
          <w:szCs w:val="24"/>
        </w:rPr>
        <w:t>CombAT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в клинических исследований </w:t>
      </w:r>
      <w:proofErr w:type="spellStart"/>
      <w:r w:rsidRPr="0067075A">
        <w:rPr>
          <w:rFonts w:ascii="Times New Roman" w:hAnsi="Times New Roman"/>
          <w:sz w:val="24"/>
          <w:szCs w:val="24"/>
        </w:rPr>
        <w:t>монотерапии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ДГПЖ и исследовании REDUCE.</w:t>
      </w:r>
    </w:p>
    <w:p w14:paraId="5BCA452F" w14:textId="77777777" w:rsidR="00AF63F7" w:rsidRPr="0067075A" w:rsidRDefault="00AF63F7" w:rsidP="00AF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Кроме того, ниже представлены данные о нежелательных явлениях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полученные из открытых источников. Частота развития нежелательных явлений может увеличиваться при применении комбинированной терапии. </w:t>
      </w:r>
    </w:p>
    <w:p w14:paraId="79CCF949" w14:textId="77777777" w:rsidR="00AF63F7" w:rsidRPr="0067075A" w:rsidRDefault="00AF63F7" w:rsidP="00AF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Количественные критерии частоты нежелательных реакций и классификация нежелательных реакций в соответствии с системно-органной классификацией и с частотой их возникновения (Определение частоты побочных явлений проводится в соответствии со следующими критериями: очень часто (≥ 1/10), часто (≥ от 1/100 до &lt; 1/10), нечасто (≥ от 1/1000 до &lt; 1/100), редко (≥ 1/10000 до  &lt; 1/1000), очень редко (&lt; 1/10000), неизвестно (невозможно оценить на основании имеющихся данных)</w:t>
      </w:r>
    </w:p>
    <w:p w14:paraId="478454DD" w14:textId="77777777" w:rsidR="00AF63F7" w:rsidRPr="0067075A" w:rsidRDefault="00AF63F7" w:rsidP="00AF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87921" w14:textId="77777777" w:rsidR="00AF63F7" w:rsidRPr="0067075A" w:rsidRDefault="00AF63F7" w:rsidP="00AF6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В рамках каждой группы СОК нежелательные явления перечислены в порядке уменьшения их серьезности.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701"/>
        <w:gridCol w:w="1559"/>
        <w:gridCol w:w="1701"/>
      </w:tblGrid>
      <w:tr w:rsidR="00576DF6" w:rsidRPr="0067075A" w14:paraId="0E132132" w14:textId="77777777" w:rsidTr="002107EA">
        <w:tc>
          <w:tcPr>
            <w:tcW w:w="2127" w:type="dxa"/>
            <w:shd w:val="clear" w:color="auto" w:fill="auto"/>
          </w:tcPr>
          <w:p w14:paraId="520BAE78" w14:textId="77777777" w:rsidR="009C2D01" w:rsidRPr="0067075A" w:rsidRDefault="00A832D0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75A">
              <w:rPr>
                <w:rFonts w:ascii="Times New Roman" w:hAnsi="Times New Roman"/>
                <w:b/>
                <w:sz w:val="24"/>
                <w:szCs w:val="24"/>
              </w:rPr>
              <w:t xml:space="preserve">Системно-органный класс </w:t>
            </w:r>
          </w:p>
        </w:tc>
        <w:tc>
          <w:tcPr>
            <w:tcW w:w="1984" w:type="dxa"/>
            <w:shd w:val="clear" w:color="auto" w:fill="auto"/>
          </w:tcPr>
          <w:p w14:paraId="25311660" w14:textId="77777777" w:rsidR="009C2D01" w:rsidRPr="0067075A" w:rsidRDefault="00A832D0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Нежелательные реакции</w:t>
            </w:r>
          </w:p>
        </w:tc>
        <w:tc>
          <w:tcPr>
            <w:tcW w:w="1701" w:type="dxa"/>
            <w:shd w:val="clear" w:color="auto" w:fill="auto"/>
          </w:tcPr>
          <w:p w14:paraId="6734201D" w14:textId="77777777" w:rsidR="009C2D01" w:rsidRPr="0067075A" w:rsidRDefault="009C2D01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Дутастерид+Тамсулозин</w:t>
            </w:r>
            <w:r w:rsidR="00A832D0" w:rsidRPr="006707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5C0DE10" w14:textId="77777777" w:rsidR="009C2D01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Дутастерид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313EA5F" w14:textId="77777777" w:rsidR="009C2D01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Тамсулозин</w:t>
            </w:r>
            <w:r w:rsidRPr="0067075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с</w:t>
            </w:r>
            <w:proofErr w:type="spellEnd"/>
          </w:p>
        </w:tc>
      </w:tr>
      <w:tr w:rsidR="00576DF6" w:rsidRPr="0067075A" w14:paraId="29CC1B44" w14:textId="77777777" w:rsidTr="002107EA">
        <w:trPr>
          <w:trHeight w:val="231"/>
        </w:trPr>
        <w:tc>
          <w:tcPr>
            <w:tcW w:w="2127" w:type="dxa"/>
            <w:vMerge w:val="restart"/>
            <w:shd w:val="clear" w:color="auto" w:fill="auto"/>
          </w:tcPr>
          <w:p w14:paraId="0EED371C" w14:textId="77777777" w:rsidR="00576DF6" w:rsidRPr="0067075A" w:rsidRDefault="00A832D0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Нарушения со стороны нервной системы</w:t>
            </w:r>
          </w:p>
        </w:tc>
        <w:tc>
          <w:tcPr>
            <w:tcW w:w="1984" w:type="dxa"/>
            <w:shd w:val="clear" w:color="auto" w:fill="auto"/>
          </w:tcPr>
          <w:p w14:paraId="3D67ECA3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Обморок</w:t>
            </w:r>
          </w:p>
        </w:tc>
        <w:tc>
          <w:tcPr>
            <w:tcW w:w="1701" w:type="dxa"/>
            <w:shd w:val="clear" w:color="auto" w:fill="auto"/>
          </w:tcPr>
          <w:p w14:paraId="56EDFD49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31AABB8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13A6F49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Редко</w:t>
            </w:r>
          </w:p>
        </w:tc>
      </w:tr>
      <w:tr w:rsidR="00576DF6" w:rsidRPr="0067075A" w14:paraId="07ED5261" w14:textId="77777777" w:rsidTr="002107EA">
        <w:trPr>
          <w:trHeight w:val="229"/>
        </w:trPr>
        <w:tc>
          <w:tcPr>
            <w:tcW w:w="2127" w:type="dxa"/>
            <w:vMerge/>
            <w:shd w:val="clear" w:color="auto" w:fill="auto"/>
          </w:tcPr>
          <w:p w14:paraId="163EBEB8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0276979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Головокружение</w:t>
            </w:r>
          </w:p>
        </w:tc>
        <w:tc>
          <w:tcPr>
            <w:tcW w:w="1701" w:type="dxa"/>
            <w:shd w:val="clear" w:color="auto" w:fill="auto"/>
          </w:tcPr>
          <w:p w14:paraId="0305E528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1559" w:type="dxa"/>
            <w:shd w:val="clear" w:color="auto" w:fill="auto"/>
          </w:tcPr>
          <w:p w14:paraId="1434EABB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D1DB674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576DF6" w:rsidRPr="0067075A" w14:paraId="1D9670C7" w14:textId="77777777" w:rsidTr="002107EA">
        <w:trPr>
          <w:trHeight w:val="229"/>
        </w:trPr>
        <w:tc>
          <w:tcPr>
            <w:tcW w:w="2127" w:type="dxa"/>
            <w:vMerge/>
            <w:shd w:val="clear" w:color="auto" w:fill="auto"/>
          </w:tcPr>
          <w:p w14:paraId="367E00F2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AF7161D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Головная боль</w:t>
            </w:r>
          </w:p>
        </w:tc>
        <w:tc>
          <w:tcPr>
            <w:tcW w:w="1701" w:type="dxa"/>
            <w:shd w:val="clear" w:color="auto" w:fill="auto"/>
          </w:tcPr>
          <w:p w14:paraId="141813FB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AC3358F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DEAA3B0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576DF6" w:rsidRPr="0067075A" w14:paraId="7688BBD3" w14:textId="77777777" w:rsidTr="002107EA">
        <w:trPr>
          <w:trHeight w:val="309"/>
        </w:trPr>
        <w:tc>
          <w:tcPr>
            <w:tcW w:w="2127" w:type="dxa"/>
            <w:vMerge w:val="restart"/>
            <w:shd w:val="clear" w:color="auto" w:fill="auto"/>
          </w:tcPr>
          <w:p w14:paraId="2F7153F7" w14:textId="77777777" w:rsidR="00576DF6" w:rsidRPr="0067075A" w:rsidRDefault="00A832D0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Нарушения со стороны сердечно- сосудистой системы</w:t>
            </w:r>
          </w:p>
        </w:tc>
        <w:tc>
          <w:tcPr>
            <w:tcW w:w="1984" w:type="dxa"/>
            <w:shd w:val="clear" w:color="auto" w:fill="auto"/>
          </w:tcPr>
          <w:p w14:paraId="29AF041F" w14:textId="77777777" w:rsidR="00576DF6" w:rsidRPr="0067075A" w:rsidRDefault="00A832D0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" w:name="_Hlk55314849"/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Сердечная недостаточность </w:t>
            </w:r>
            <w:bookmarkStart w:id="15" w:name="_Hlk55317115"/>
            <w:bookmarkEnd w:id="14"/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7075A">
              <w:rPr>
                <w:rFonts w:ascii="Times New Roman" w:hAnsi="Times New Roman"/>
                <w:sz w:val="24"/>
                <w:szCs w:val="24"/>
                <w:lang w:bidi="ru-RU"/>
              </w:rPr>
              <w:t>комплексный</w:t>
            </w: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 термин</w:t>
            </w: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)</w:t>
            </w:r>
            <w:bookmarkEnd w:id="15"/>
          </w:p>
        </w:tc>
        <w:tc>
          <w:tcPr>
            <w:tcW w:w="1701" w:type="dxa"/>
            <w:shd w:val="clear" w:color="auto" w:fill="auto"/>
          </w:tcPr>
          <w:p w14:paraId="3A3DE77D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1559" w:type="dxa"/>
            <w:shd w:val="clear" w:color="auto" w:fill="auto"/>
          </w:tcPr>
          <w:p w14:paraId="73E67229" w14:textId="77777777" w:rsidR="00576DF6" w:rsidRPr="0067075A" w:rsidRDefault="00576DF6" w:rsidP="00320596">
            <w:pPr>
              <w:tabs>
                <w:tab w:val="left" w:pos="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  <w:r w:rsidR="00A832D0" w:rsidRPr="0067075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</w:p>
        </w:tc>
        <w:tc>
          <w:tcPr>
            <w:tcW w:w="1701" w:type="dxa"/>
            <w:shd w:val="clear" w:color="auto" w:fill="auto"/>
          </w:tcPr>
          <w:p w14:paraId="6AB6813C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6DF6" w:rsidRPr="0067075A" w14:paraId="46F62A02" w14:textId="77777777" w:rsidTr="002107EA">
        <w:trPr>
          <w:trHeight w:val="628"/>
        </w:trPr>
        <w:tc>
          <w:tcPr>
            <w:tcW w:w="2127" w:type="dxa"/>
            <w:vMerge/>
            <w:shd w:val="clear" w:color="auto" w:fill="auto"/>
          </w:tcPr>
          <w:p w14:paraId="769A9678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38B6D83" w14:textId="77777777" w:rsidR="00576DF6" w:rsidRPr="0067075A" w:rsidRDefault="00A832D0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proofErr w:type="spellStart"/>
            <w:r w:rsidRPr="0067075A">
              <w:rPr>
                <w:rFonts w:ascii="Times New Roman" w:hAnsi="Times New Roman"/>
                <w:sz w:val="24"/>
                <w:szCs w:val="24"/>
              </w:rPr>
              <w:t>чащённое</w:t>
            </w:r>
            <w:proofErr w:type="spellEnd"/>
            <w:r w:rsidR="00576DF6" w:rsidRPr="0067075A">
              <w:rPr>
                <w:rFonts w:ascii="Times New Roman" w:hAnsi="Times New Roman"/>
                <w:sz w:val="24"/>
                <w:szCs w:val="24"/>
              </w:rPr>
              <w:t xml:space="preserve"> сердцебиение</w:t>
            </w:r>
          </w:p>
        </w:tc>
        <w:tc>
          <w:tcPr>
            <w:tcW w:w="1701" w:type="dxa"/>
            <w:shd w:val="clear" w:color="auto" w:fill="auto"/>
          </w:tcPr>
          <w:p w14:paraId="36F4EE11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D5DD3D8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3950539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576DF6" w:rsidRPr="0067075A" w14:paraId="7FECBB55" w14:textId="77777777" w:rsidTr="002107EA">
        <w:tc>
          <w:tcPr>
            <w:tcW w:w="2127" w:type="dxa"/>
            <w:shd w:val="clear" w:color="auto" w:fill="auto"/>
          </w:tcPr>
          <w:p w14:paraId="6CB66172" w14:textId="77777777" w:rsidR="009C2D01" w:rsidRPr="0067075A" w:rsidRDefault="002107EA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Нарушения со стороны сосудов</w:t>
            </w:r>
          </w:p>
        </w:tc>
        <w:tc>
          <w:tcPr>
            <w:tcW w:w="1984" w:type="dxa"/>
            <w:shd w:val="clear" w:color="auto" w:fill="auto"/>
          </w:tcPr>
          <w:p w14:paraId="2BC540A3" w14:textId="77777777" w:rsidR="009C2D01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Ортостатическая гипотензия</w:t>
            </w:r>
          </w:p>
        </w:tc>
        <w:tc>
          <w:tcPr>
            <w:tcW w:w="1701" w:type="dxa"/>
            <w:shd w:val="clear" w:color="auto" w:fill="auto"/>
          </w:tcPr>
          <w:p w14:paraId="494D682F" w14:textId="77777777" w:rsidR="009C2D01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9A2AB0A" w14:textId="77777777" w:rsidR="009C2D01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08881EA" w14:textId="77777777" w:rsidR="009C2D01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576DF6" w:rsidRPr="0067075A" w14:paraId="6F4D9E5C" w14:textId="77777777" w:rsidTr="002107EA">
        <w:tc>
          <w:tcPr>
            <w:tcW w:w="2127" w:type="dxa"/>
            <w:shd w:val="clear" w:color="auto" w:fill="auto"/>
          </w:tcPr>
          <w:p w14:paraId="37DB971A" w14:textId="77777777" w:rsidR="009C2D01" w:rsidRPr="0067075A" w:rsidRDefault="00A832D0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Нарушения со стороны органов дыхания, грудной клетки и средостения</w:t>
            </w:r>
          </w:p>
        </w:tc>
        <w:tc>
          <w:tcPr>
            <w:tcW w:w="1984" w:type="dxa"/>
            <w:shd w:val="clear" w:color="auto" w:fill="auto"/>
          </w:tcPr>
          <w:p w14:paraId="7E409795" w14:textId="77777777" w:rsidR="009C2D01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Ринит</w:t>
            </w:r>
          </w:p>
        </w:tc>
        <w:tc>
          <w:tcPr>
            <w:tcW w:w="1701" w:type="dxa"/>
            <w:shd w:val="clear" w:color="auto" w:fill="auto"/>
          </w:tcPr>
          <w:p w14:paraId="0F0438DA" w14:textId="77777777" w:rsidR="009C2D01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005B147" w14:textId="77777777" w:rsidR="00A832D0" w:rsidRPr="0067075A" w:rsidRDefault="00A832D0" w:rsidP="00A8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56EBF77" w14:textId="77777777" w:rsidR="009C2D01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4B42DCB" w14:textId="77777777" w:rsidR="009C2D01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576DF6" w:rsidRPr="0067075A" w14:paraId="2E0E5654" w14:textId="77777777" w:rsidTr="002107EA">
        <w:trPr>
          <w:trHeight w:val="173"/>
        </w:trPr>
        <w:tc>
          <w:tcPr>
            <w:tcW w:w="2127" w:type="dxa"/>
            <w:vMerge w:val="restart"/>
            <w:shd w:val="clear" w:color="auto" w:fill="auto"/>
          </w:tcPr>
          <w:p w14:paraId="0FC1128E" w14:textId="77777777" w:rsidR="002107EA" w:rsidRPr="0067075A" w:rsidRDefault="002107EA" w:rsidP="002107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Нарушения со</w:t>
            </w:r>
          </w:p>
          <w:p w14:paraId="7CF1910C" w14:textId="77777777" w:rsidR="00576DF6" w:rsidRPr="0067075A" w:rsidRDefault="002107EA" w:rsidP="002107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стороны желудочно-кишечной системы</w:t>
            </w:r>
          </w:p>
        </w:tc>
        <w:tc>
          <w:tcPr>
            <w:tcW w:w="1984" w:type="dxa"/>
            <w:shd w:val="clear" w:color="auto" w:fill="auto"/>
          </w:tcPr>
          <w:p w14:paraId="5A5673CA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Запор</w:t>
            </w:r>
          </w:p>
        </w:tc>
        <w:tc>
          <w:tcPr>
            <w:tcW w:w="1701" w:type="dxa"/>
            <w:shd w:val="clear" w:color="auto" w:fill="auto"/>
          </w:tcPr>
          <w:p w14:paraId="41A50518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2C13518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91ECF94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576DF6" w:rsidRPr="0067075A" w14:paraId="5DBFAD70" w14:textId="77777777" w:rsidTr="002107EA">
        <w:trPr>
          <w:trHeight w:val="172"/>
        </w:trPr>
        <w:tc>
          <w:tcPr>
            <w:tcW w:w="2127" w:type="dxa"/>
            <w:vMerge/>
            <w:shd w:val="clear" w:color="auto" w:fill="auto"/>
          </w:tcPr>
          <w:p w14:paraId="7712AE34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2B1EAFE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Диарея</w:t>
            </w:r>
          </w:p>
        </w:tc>
        <w:tc>
          <w:tcPr>
            <w:tcW w:w="1701" w:type="dxa"/>
            <w:shd w:val="clear" w:color="auto" w:fill="auto"/>
          </w:tcPr>
          <w:p w14:paraId="1E90CD8B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42A1AF9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E599541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576DF6" w:rsidRPr="0067075A" w14:paraId="30C3F4DF" w14:textId="77777777" w:rsidTr="002107EA">
        <w:trPr>
          <w:trHeight w:val="172"/>
        </w:trPr>
        <w:tc>
          <w:tcPr>
            <w:tcW w:w="2127" w:type="dxa"/>
            <w:vMerge/>
            <w:shd w:val="clear" w:color="auto" w:fill="auto"/>
          </w:tcPr>
          <w:p w14:paraId="1D6D7ED3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CA73607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Тошнота</w:t>
            </w:r>
          </w:p>
        </w:tc>
        <w:tc>
          <w:tcPr>
            <w:tcW w:w="1701" w:type="dxa"/>
            <w:shd w:val="clear" w:color="auto" w:fill="auto"/>
          </w:tcPr>
          <w:p w14:paraId="05D06810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734E629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36E7D26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576DF6" w:rsidRPr="0067075A" w14:paraId="2CB33CD3" w14:textId="77777777" w:rsidTr="002107EA">
        <w:trPr>
          <w:trHeight w:val="172"/>
        </w:trPr>
        <w:tc>
          <w:tcPr>
            <w:tcW w:w="2127" w:type="dxa"/>
            <w:vMerge/>
            <w:shd w:val="clear" w:color="auto" w:fill="auto"/>
          </w:tcPr>
          <w:p w14:paraId="6895CF39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63BB118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Рвота</w:t>
            </w:r>
          </w:p>
        </w:tc>
        <w:tc>
          <w:tcPr>
            <w:tcW w:w="1701" w:type="dxa"/>
            <w:shd w:val="clear" w:color="auto" w:fill="auto"/>
          </w:tcPr>
          <w:p w14:paraId="4B05DB6E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ABFF283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0C7667A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576DF6" w:rsidRPr="0067075A" w14:paraId="19124681" w14:textId="77777777" w:rsidTr="002107EA">
        <w:trPr>
          <w:trHeight w:val="141"/>
        </w:trPr>
        <w:tc>
          <w:tcPr>
            <w:tcW w:w="2127" w:type="dxa"/>
            <w:vMerge w:val="restart"/>
            <w:shd w:val="clear" w:color="auto" w:fill="auto"/>
          </w:tcPr>
          <w:p w14:paraId="733130B5" w14:textId="77777777" w:rsidR="00576DF6" w:rsidRPr="0067075A" w:rsidRDefault="00A832D0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Нарушения со стороны кожи и подкожных тканей</w:t>
            </w:r>
          </w:p>
        </w:tc>
        <w:tc>
          <w:tcPr>
            <w:tcW w:w="1984" w:type="dxa"/>
            <w:shd w:val="clear" w:color="auto" w:fill="auto"/>
          </w:tcPr>
          <w:p w14:paraId="41268996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Ангионевротический отек</w:t>
            </w:r>
          </w:p>
        </w:tc>
        <w:tc>
          <w:tcPr>
            <w:tcW w:w="1701" w:type="dxa"/>
            <w:shd w:val="clear" w:color="auto" w:fill="auto"/>
          </w:tcPr>
          <w:p w14:paraId="7E7926D1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8D30C47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38AA615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Редко</w:t>
            </w:r>
          </w:p>
        </w:tc>
      </w:tr>
      <w:tr w:rsidR="00576DF6" w:rsidRPr="0067075A" w14:paraId="265C4A9A" w14:textId="77777777" w:rsidTr="002107EA">
        <w:trPr>
          <w:trHeight w:val="137"/>
        </w:trPr>
        <w:tc>
          <w:tcPr>
            <w:tcW w:w="2127" w:type="dxa"/>
            <w:vMerge/>
            <w:shd w:val="clear" w:color="auto" w:fill="auto"/>
          </w:tcPr>
          <w:p w14:paraId="6D27724A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D588043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Синдром Стивена-Джонсона</w:t>
            </w:r>
          </w:p>
        </w:tc>
        <w:tc>
          <w:tcPr>
            <w:tcW w:w="1701" w:type="dxa"/>
            <w:shd w:val="clear" w:color="auto" w:fill="auto"/>
          </w:tcPr>
          <w:p w14:paraId="673D5C16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802985A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69B7ECC" w14:textId="77777777" w:rsidR="00576DF6" w:rsidRPr="0067075A" w:rsidRDefault="00576DF6" w:rsidP="0032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Очень редко</w:t>
            </w:r>
          </w:p>
        </w:tc>
      </w:tr>
      <w:tr w:rsidR="00576DF6" w:rsidRPr="0067075A" w14:paraId="18534BCC" w14:textId="77777777" w:rsidTr="002107EA">
        <w:trPr>
          <w:trHeight w:val="137"/>
        </w:trPr>
        <w:tc>
          <w:tcPr>
            <w:tcW w:w="2127" w:type="dxa"/>
            <w:vMerge/>
            <w:shd w:val="clear" w:color="auto" w:fill="auto"/>
          </w:tcPr>
          <w:p w14:paraId="3DA6BE67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0E341B2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Крапивница</w:t>
            </w:r>
          </w:p>
        </w:tc>
        <w:tc>
          <w:tcPr>
            <w:tcW w:w="1701" w:type="dxa"/>
            <w:shd w:val="clear" w:color="auto" w:fill="auto"/>
          </w:tcPr>
          <w:p w14:paraId="695C200E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E46A37D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6FAA330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576DF6" w:rsidRPr="0067075A" w14:paraId="3245CE8F" w14:textId="77777777" w:rsidTr="002107EA">
        <w:trPr>
          <w:trHeight w:val="137"/>
        </w:trPr>
        <w:tc>
          <w:tcPr>
            <w:tcW w:w="2127" w:type="dxa"/>
            <w:vMerge/>
            <w:shd w:val="clear" w:color="auto" w:fill="auto"/>
          </w:tcPr>
          <w:p w14:paraId="4E8F7F0A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20989BB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Сыпь</w:t>
            </w:r>
          </w:p>
        </w:tc>
        <w:tc>
          <w:tcPr>
            <w:tcW w:w="1701" w:type="dxa"/>
            <w:shd w:val="clear" w:color="auto" w:fill="auto"/>
          </w:tcPr>
          <w:p w14:paraId="72F5C8BC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A22D399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51C85CD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576DF6" w:rsidRPr="0067075A" w14:paraId="08791005" w14:textId="77777777" w:rsidTr="002107EA">
        <w:trPr>
          <w:trHeight w:val="137"/>
        </w:trPr>
        <w:tc>
          <w:tcPr>
            <w:tcW w:w="2127" w:type="dxa"/>
            <w:vMerge/>
            <w:shd w:val="clear" w:color="auto" w:fill="auto"/>
          </w:tcPr>
          <w:p w14:paraId="3B12098F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E0582F9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Зуд</w:t>
            </w:r>
          </w:p>
        </w:tc>
        <w:tc>
          <w:tcPr>
            <w:tcW w:w="1701" w:type="dxa"/>
            <w:shd w:val="clear" w:color="auto" w:fill="auto"/>
          </w:tcPr>
          <w:p w14:paraId="747E63FE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FCF09CD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4B7C122" w14:textId="77777777" w:rsidR="00576DF6" w:rsidRPr="0067075A" w:rsidRDefault="00576DF6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6B12FD" w:rsidRPr="0067075A" w14:paraId="165695BC" w14:textId="77777777" w:rsidTr="002107EA">
        <w:trPr>
          <w:trHeight w:val="187"/>
        </w:trPr>
        <w:tc>
          <w:tcPr>
            <w:tcW w:w="2127" w:type="dxa"/>
            <w:vMerge w:val="restart"/>
            <w:shd w:val="clear" w:color="auto" w:fill="auto"/>
          </w:tcPr>
          <w:p w14:paraId="27683B0D" w14:textId="77777777" w:rsidR="006B12FD" w:rsidRPr="0067075A" w:rsidRDefault="006B12FD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75A">
              <w:rPr>
                <w:rFonts w:ascii="Times New Roman" w:hAnsi="Times New Roman"/>
                <w:b/>
                <w:sz w:val="24"/>
                <w:szCs w:val="24"/>
              </w:rPr>
              <w:t xml:space="preserve">Нарушения </w:t>
            </w:r>
            <w:r w:rsidR="00A832D0" w:rsidRPr="0067075A">
              <w:rPr>
                <w:rFonts w:ascii="Times New Roman" w:hAnsi="Times New Roman"/>
                <w:b/>
                <w:sz w:val="24"/>
                <w:szCs w:val="24"/>
              </w:rPr>
              <w:t xml:space="preserve">со стороны </w:t>
            </w:r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репродуктивной системы и молочных желез</w:t>
            </w:r>
          </w:p>
        </w:tc>
        <w:tc>
          <w:tcPr>
            <w:tcW w:w="1984" w:type="dxa"/>
            <w:shd w:val="clear" w:color="auto" w:fill="auto"/>
          </w:tcPr>
          <w:p w14:paraId="64AE3424" w14:textId="77777777" w:rsidR="006B12FD" w:rsidRPr="0067075A" w:rsidRDefault="006B12FD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Приапизм</w:t>
            </w:r>
          </w:p>
        </w:tc>
        <w:tc>
          <w:tcPr>
            <w:tcW w:w="1701" w:type="dxa"/>
            <w:shd w:val="clear" w:color="auto" w:fill="auto"/>
          </w:tcPr>
          <w:p w14:paraId="0A1341CB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FCFADC3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D49E156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Очень редко</w:t>
            </w:r>
          </w:p>
        </w:tc>
      </w:tr>
      <w:tr w:rsidR="006B12FD" w:rsidRPr="0067075A" w14:paraId="2F47FD5E" w14:textId="77777777" w:rsidTr="002107EA">
        <w:trPr>
          <w:trHeight w:val="185"/>
        </w:trPr>
        <w:tc>
          <w:tcPr>
            <w:tcW w:w="2127" w:type="dxa"/>
            <w:vMerge/>
            <w:shd w:val="clear" w:color="auto" w:fill="auto"/>
          </w:tcPr>
          <w:p w14:paraId="12BAF995" w14:textId="77777777" w:rsidR="006B12FD" w:rsidRPr="0067075A" w:rsidRDefault="006B12FD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A058A05" w14:textId="77777777" w:rsidR="006B12FD" w:rsidRPr="0067075A" w:rsidRDefault="006B12FD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Импотенция</w:t>
            </w:r>
            <w:r w:rsidRPr="0067075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18CA0D5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1559" w:type="dxa"/>
            <w:shd w:val="clear" w:color="auto" w:fill="auto"/>
          </w:tcPr>
          <w:p w14:paraId="7B02DC00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Часто</w:t>
            </w:r>
            <w:r w:rsidRPr="0067075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14:paraId="37BED6EC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12FD" w:rsidRPr="0067075A" w14:paraId="6CC13DC1" w14:textId="77777777" w:rsidTr="002107EA">
        <w:trPr>
          <w:trHeight w:val="185"/>
        </w:trPr>
        <w:tc>
          <w:tcPr>
            <w:tcW w:w="2127" w:type="dxa"/>
            <w:vMerge/>
            <w:shd w:val="clear" w:color="auto" w:fill="auto"/>
          </w:tcPr>
          <w:p w14:paraId="77CFCC9F" w14:textId="77777777" w:rsidR="006B12FD" w:rsidRPr="0067075A" w:rsidRDefault="006B12FD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9E9E8EB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Измененное (пониженное) либидо</w:t>
            </w:r>
            <w:r w:rsidRPr="0067075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D9974A3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1559" w:type="dxa"/>
            <w:shd w:val="clear" w:color="auto" w:fill="auto"/>
          </w:tcPr>
          <w:p w14:paraId="231C4F08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Часто</w:t>
            </w:r>
            <w:r w:rsidRPr="0067075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14:paraId="1010BA21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12FD" w:rsidRPr="0067075A" w14:paraId="5CA5DE94" w14:textId="77777777" w:rsidTr="002107EA">
        <w:trPr>
          <w:trHeight w:val="185"/>
        </w:trPr>
        <w:tc>
          <w:tcPr>
            <w:tcW w:w="2127" w:type="dxa"/>
            <w:vMerge/>
            <w:shd w:val="clear" w:color="auto" w:fill="auto"/>
          </w:tcPr>
          <w:p w14:paraId="4C6B170A" w14:textId="77777777" w:rsidR="006B12FD" w:rsidRPr="0067075A" w:rsidRDefault="006B12FD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35FB346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Нарушения эякуляции</w:t>
            </w:r>
            <w:r w:rsidRPr="0067075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7075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^</w:t>
            </w:r>
          </w:p>
        </w:tc>
        <w:tc>
          <w:tcPr>
            <w:tcW w:w="1701" w:type="dxa"/>
            <w:shd w:val="clear" w:color="auto" w:fill="auto"/>
          </w:tcPr>
          <w:p w14:paraId="496D59B3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1559" w:type="dxa"/>
            <w:shd w:val="clear" w:color="auto" w:fill="auto"/>
          </w:tcPr>
          <w:p w14:paraId="0316F6A2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Часто</w:t>
            </w:r>
            <w:r w:rsidRPr="0067075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14:paraId="230046B9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6B12FD" w:rsidRPr="0067075A" w14:paraId="5998AE2E" w14:textId="77777777" w:rsidTr="002107EA">
        <w:trPr>
          <w:trHeight w:val="185"/>
        </w:trPr>
        <w:tc>
          <w:tcPr>
            <w:tcW w:w="2127" w:type="dxa"/>
            <w:vMerge/>
            <w:shd w:val="clear" w:color="auto" w:fill="auto"/>
          </w:tcPr>
          <w:p w14:paraId="6258CD86" w14:textId="77777777" w:rsidR="006B12FD" w:rsidRPr="0067075A" w:rsidRDefault="006B12FD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3D16DE4" w14:textId="77777777" w:rsidR="00A832D0" w:rsidRPr="0067075A" w:rsidRDefault="00A832D0" w:rsidP="00A832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bookmarkStart w:id="16" w:name="_Hlk55316806"/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Нарушение со </w:t>
            </w:r>
          </w:p>
          <w:p w14:paraId="14718000" w14:textId="77777777" w:rsidR="006B12FD" w:rsidRPr="0067075A" w:rsidRDefault="00A832D0" w:rsidP="00A83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стороны молочной железы</w:t>
            </w:r>
            <w:bookmarkStart w:id="17" w:name="_Hlk55317046"/>
            <w:bookmarkEnd w:id="16"/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bookmarkEnd w:id="17"/>
          </w:p>
        </w:tc>
        <w:tc>
          <w:tcPr>
            <w:tcW w:w="1701" w:type="dxa"/>
            <w:shd w:val="clear" w:color="auto" w:fill="auto"/>
          </w:tcPr>
          <w:p w14:paraId="61482E01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1559" w:type="dxa"/>
            <w:shd w:val="clear" w:color="auto" w:fill="auto"/>
          </w:tcPr>
          <w:p w14:paraId="2919CA6F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75A">
              <w:rPr>
                <w:rFonts w:ascii="Times New Roman" w:hAnsi="Times New Roman"/>
                <w:sz w:val="24"/>
                <w:szCs w:val="24"/>
              </w:rPr>
              <w:t>Часто</w:t>
            </w:r>
            <w:r w:rsidRPr="0067075A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D77D7A5" w14:textId="77777777" w:rsidR="006B12FD" w:rsidRPr="0067075A" w:rsidRDefault="00F21C9B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12FD" w:rsidRPr="0067075A" w14:paraId="4F0098B1" w14:textId="77777777" w:rsidTr="002107EA">
        <w:tc>
          <w:tcPr>
            <w:tcW w:w="2127" w:type="dxa"/>
            <w:shd w:val="clear" w:color="auto" w:fill="auto"/>
          </w:tcPr>
          <w:p w14:paraId="515F015D" w14:textId="77777777" w:rsidR="006B12FD" w:rsidRPr="0067075A" w:rsidRDefault="002107EA" w:rsidP="003205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75A">
              <w:rPr>
                <w:rFonts w:ascii="Times New Roman" w:hAnsi="Times New Roman"/>
                <w:b/>
                <w:sz w:val="24"/>
                <w:szCs w:val="24"/>
              </w:rPr>
              <w:t>Общие нарушения и реакции в месте введения</w:t>
            </w:r>
          </w:p>
        </w:tc>
        <w:tc>
          <w:tcPr>
            <w:tcW w:w="1984" w:type="dxa"/>
            <w:shd w:val="clear" w:color="auto" w:fill="auto"/>
          </w:tcPr>
          <w:p w14:paraId="44C420C8" w14:textId="77777777" w:rsidR="006B12FD" w:rsidRPr="0067075A" w:rsidRDefault="007A3C32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Астения</w:t>
            </w:r>
          </w:p>
        </w:tc>
        <w:tc>
          <w:tcPr>
            <w:tcW w:w="1701" w:type="dxa"/>
            <w:shd w:val="clear" w:color="auto" w:fill="auto"/>
          </w:tcPr>
          <w:p w14:paraId="332A63E3" w14:textId="77777777" w:rsidR="006B12FD" w:rsidRPr="0067075A" w:rsidRDefault="007A3C32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C46BD06" w14:textId="77777777" w:rsidR="006B12FD" w:rsidRPr="0067075A" w:rsidRDefault="007A3C32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0CE8CE9" w14:textId="77777777" w:rsidR="006B12FD" w:rsidRPr="0067075A" w:rsidRDefault="007A3C32" w:rsidP="0032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75A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</w:tbl>
    <w:bookmarkEnd w:id="13"/>
    <w:p w14:paraId="64EE942B" w14:textId="77777777" w:rsidR="00A832D0" w:rsidRPr="0067075A" w:rsidRDefault="00A832D0" w:rsidP="00A832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075A">
        <w:rPr>
          <w:rFonts w:ascii="Times New Roman" w:hAnsi="Times New Roman"/>
          <w:sz w:val="20"/>
          <w:szCs w:val="20"/>
        </w:rPr>
        <w:t xml:space="preserve">a </w:t>
      </w:r>
      <w:proofErr w:type="spellStart"/>
      <w:r w:rsidRPr="0067075A">
        <w:rPr>
          <w:rFonts w:ascii="Times New Roman" w:hAnsi="Times New Roman"/>
          <w:sz w:val="20"/>
          <w:szCs w:val="20"/>
        </w:rPr>
        <w:t>Дутастерид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 + </w:t>
      </w:r>
      <w:proofErr w:type="spellStart"/>
      <w:r w:rsidRPr="0067075A">
        <w:rPr>
          <w:rFonts w:ascii="Times New Roman" w:hAnsi="Times New Roman"/>
          <w:sz w:val="20"/>
          <w:szCs w:val="20"/>
        </w:rPr>
        <w:t>тамсулозин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: данные исследования </w:t>
      </w:r>
      <w:proofErr w:type="spellStart"/>
      <w:r w:rsidRPr="0067075A">
        <w:rPr>
          <w:rFonts w:ascii="Times New Roman" w:hAnsi="Times New Roman"/>
          <w:sz w:val="20"/>
          <w:szCs w:val="20"/>
        </w:rPr>
        <w:t>CombAT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 – частота этих нежелательных явлений снижается в ходе лечения, начиная с 1 года до 4 года. </w:t>
      </w:r>
    </w:p>
    <w:p w14:paraId="2FB7159B" w14:textId="77777777" w:rsidR="00A832D0" w:rsidRPr="0067075A" w:rsidRDefault="00A832D0" w:rsidP="00A832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075A">
        <w:rPr>
          <w:rFonts w:ascii="Times New Roman" w:hAnsi="Times New Roman"/>
          <w:sz w:val="20"/>
          <w:szCs w:val="20"/>
        </w:rPr>
        <w:t xml:space="preserve">b </w:t>
      </w:r>
      <w:proofErr w:type="spellStart"/>
      <w:r w:rsidRPr="0067075A">
        <w:rPr>
          <w:rFonts w:ascii="Times New Roman" w:hAnsi="Times New Roman"/>
          <w:sz w:val="20"/>
          <w:szCs w:val="20"/>
        </w:rPr>
        <w:t>Дутастерид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: данные клинических исследований </w:t>
      </w:r>
      <w:proofErr w:type="spellStart"/>
      <w:r w:rsidRPr="0067075A">
        <w:rPr>
          <w:rFonts w:ascii="Times New Roman" w:hAnsi="Times New Roman"/>
          <w:sz w:val="20"/>
          <w:szCs w:val="20"/>
        </w:rPr>
        <w:t>монотерапии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 ДГПЖ </w:t>
      </w:r>
    </w:p>
    <w:p w14:paraId="1DC4A8F0" w14:textId="77777777" w:rsidR="00A832D0" w:rsidRPr="0067075A" w:rsidRDefault="00A832D0" w:rsidP="00A832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8" w:name="_Hlk56013661"/>
      <w:r w:rsidRPr="0067075A">
        <w:rPr>
          <w:rFonts w:ascii="Times New Roman" w:hAnsi="Times New Roman"/>
          <w:sz w:val="20"/>
          <w:szCs w:val="20"/>
        </w:rPr>
        <w:lastRenderedPageBreak/>
        <w:t xml:space="preserve">с </w:t>
      </w:r>
      <w:proofErr w:type="spellStart"/>
      <w:r w:rsidRPr="0067075A">
        <w:rPr>
          <w:rFonts w:ascii="Times New Roman" w:hAnsi="Times New Roman"/>
          <w:sz w:val="20"/>
          <w:szCs w:val="20"/>
        </w:rPr>
        <w:t>Тамсулозин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: данные профиля безопасности ЕС (Евросоюз) для </w:t>
      </w:r>
      <w:proofErr w:type="spellStart"/>
      <w:r w:rsidRPr="0067075A">
        <w:rPr>
          <w:rFonts w:ascii="Times New Roman" w:hAnsi="Times New Roman"/>
          <w:sz w:val="20"/>
          <w:szCs w:val="20"/>
        </w:rPr>
        <w:t>тамсулозина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 </w:t>
      </w:r>
    </w:p>
    <w:bookmarkEnd w:id="18"/>
    <w:p w14:paraId="1C91B98F" w14:textId="77777777" w:rsidR="00A832D0" w:rsidRPr="0067075A" w:rsidRDefault="00A832D0" w:rsidP="00A832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075A">
        <w:rPr>
          <w:rFonts w:ascii="Times New Roman" w:hAnsi="Times New Roman"/>
          <w:sz w:val="20"/>
          <w:szCs w:val="20"/>
        </w:rPr>
        <w:t xml:space="preserve">d Исследование REDUCE (см. раздел 5.1) </w:t>
      </w:r>
    </w:p>
    <w:p w14:paraId="1D886989" w14:textId="77777777" w:rsidR="00284941" w:rsidRPr="0067075A" w:rsidRDefault="00284941" w:rsidP="002849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075A">
        <w:rPr>
          <w:rFonts w:ascii="Times New Roman" w:hAnsi="Times New Roman"/>
          <w:sz w:val="20"/>
          <w:szCs w:val="20"/>
        </w:rPr>
        <w:t xml:space="preserve">1 Комплексный термин «сердечная недостаточность» включает в себя застойную сердечную недостаточность, сердечную недостаточность, левожелудочковую недостаточность, острую сердечную недостаточность, кардиогенный шок, острую левожелудочковую недостаточность, правожелудочковую недостаточность, острую правожелудочковую недостаточность, желудочковую недостаточность, сердечно-легочную недостаточность и </w:t>
      </w:r>
      <w:proofErr w:type="spellStart"/>
      <w:r w:rsidRPr="0067075A">
        <w:rPr>
          <w:rFonts w:ascii="Times New Roman" w:hAnsi="Times New Roman"/>
          <w:sz w:val="20"/>
          <w:szCs w:val="20"/>
        </w:rPr>
        <w:t>дилятационную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7075A">
        <w:rPr>
          <w:rFonts w:ascii="Times New Roman" w:hAnsi="Times New Roman"/>
          <w:sz w:val="20"/>
          <w:szCs w:val="20"/>
        </w:rPr>
        <w:t>кардимиопатию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. </w:t>
      </w:r>
    </w:p>
    <w:p w14:paraId="1545644B" w14:textId="77777777" w:rsidR="00284941" w:rsidRPr="0067075A" w:rsidRDefault="00284941" w:rsidP="002849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075A">
        <w:rPr>
          <w:rFonts w:ascii="Times New Roman" w:hAnsi="Times New Roman"/>
          <w:sz w:val="20"/>
          <w:szCs w:val="20"/>
        </w:rPr>
        <w:t xml:space="preserve">2 Включая болезненность и увеличение молочных желез. </w:t>
      </w:r>
    </w:p>
    <w:p w14:paraId="22255B94" w14:textId="77777777" w:rsidR="00284941" w:rsidRPr="0067075A" w:rsidRDefault="00284941" w:rsidP="002849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075A">
        <w:rPr>
          <w:rFonts w:ascii="Times New Roman" w:hAnsi="Times New Roman"/>
          <w:sz w:val="20"/>
          <w:szCs w:val="20"/>
        </w:rPr>
        <w:t xml:space="preserve">3 Эти нежелательные явления сексуального характера связаны с приемом </w:t>
      </w:r>
      <w:proofErr w:type="spellStart"/>
      <w:r w:rsidRPr="0067075A">
        <w:rPr>
          <w:rFonts w:ascii="Times New Roman" w:hAnsi="Times New Roman"/>
          <w:sz w:val="20"/>
          <w:szCs w:val="20"/>
        </w:rPr>
        <w:t>дутастерида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 (включая </w:t>
      </w:r>
      <w:proofErr w:type="spellStart"/>
      <w:r w:rsidRPr="0067075A">
        <w:rPr>
          <w:rFonts w:ascii="Times New Roman" w:hAnsi="Times New Roman"/>
          <w:sz w:val="20"/>
          <w:szCs w:val="20"/>
        </w:rPr>
        <w:t>монотерапию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 и комбинацию с </w:t>
      </w:r>
      <w:proofErr w:type="spellStart"/>
      <w:r w:rsidRPr="0067075A">
        <w:rPr>
          <w:rFonts w:ascii="Times New Roman" w:hAnsi="Times New Roman"/>
          <w:sz w:val="20"/>
          <w:szCs w:val="20"/>
        </w:rPr>
        <w:t>тамсулозином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). Нежелательные явления могут продолжиться после прекращения терапии. Роль </w:t>
      </w:r>
      <w:proofErr w:type="spellStart"/>
      <w:r w:rsidRPr="0067075A">
        <w:rPr>
          <w:rFonts w:ascii="Times New Roman" w:hAnsi="Times New Roman"/>
          <w:sz w:val="20"/>
          <w:szCs w:val="20"/>
        </w:rPr>
        <w:t>дутастерида</w:t>
      </w:r>
      <w:proofErr w:type="spellEnd"/>
      <w:r w:rsidRPr="0067075A">
        <w:rPr>
          <w:rFonts w:ascii="Times New Roman" w:hAnsi="Times New Roman"/>
          <w:sz w:val="20"/>
          <w:szCs w:val="20"/>
        </w:rPr>
        <w:t xml:space="preserve"> в их сохранении не известная. </w:t>
      </w:r>
    </w:p>
    <w:p w14:paraId="0E36F770" w14:textId="77777777" w:rsidR="00A832D0" w:rsidRPr="0067075A" w:rsidRDefault="00284941" w:rsidP="00E207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075A">
        <w:rPr>
          <w:rFonts w:ascii="Times New Roman" w:hAnsi="Times New Roman"/>
          <w:sz w:val="20"/>
          <w:szCs w:val="20"/>
        </w:rPr>
        <w:t>^ Включая уменьшение объема спермы.</w:t>
      </w:r>
    </w:p>
    <w:p w14:paraId="6DBF3FC7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ДРУГИЕ ДАННЫЕ </w:t>
      </w:r>
    </w:p>
    <w:p w14:paraId="5CFEA90E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В исследовании REDUCE, у мужчин, получавших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наблюдалась более высокая частота рака предстательной железы в сумме балов по шкале </w:t>
      </w:r>
      <w:proofErr w:type="spellStart"/>
      <w:r w:rsidRPr="0067075A">
        <w:rPr>
          <w:rFonts w:ascii="Times New Roman" w:hAnsi="Times New Roman"/>
          <w:sz w:val="24"/>
          <w:szCs w:val="24"/>
        </w:rPr>
        <w:t>Глисона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8-10, чем в группе плацебо (см. разделы 4.4 и 5.1). Не установлено, что повлияло на результаты данного исследования: свойства </w:t>
      </w:r>
      <w:proofErr w:type="spellStart"/>
      <w:r w:rsidRPr="0067075A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уменьшать объем предстательной железы или факторы, связанные с исследованием и влияющие на результат. </w:t>
      </w:r>
    </w:p>
    <w:p w14:paraId="30A8705A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Сообщалось о следующем нежелательном явлении в клинических исследованиях и в пострегистрационный период: рак молочной железы у мужчин (см. раздел 4.4).</w:t>
      </w:r>
    </w:p>
    <w:p w14:paraId="48EB069C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Данные, полученные в пострегистрационный период </w:t>
      </w:r>
    </w:p>
    <w:p w14:paraId="7B69674F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Нежелательные реакции, установленные в ходе международного наблюдения в пострегистрационный период, получены из спонтанных пострегистрационных сообщений, поэтому истинная частота встречаемости реакций неизвестна.</w:t>
      </w:r>
    </w:p>
    <w:p w14:paraId="15AD3D55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7075A">
        <w:rPr>
          <w:rFonts w:ascii="Times New Roman" w:hAnsi="Times New Roman"/>
          <w:i/>
          <w:iCs/>
          <w:sz w:val="24"/>
          <w:szCs w:val="24"/>
        </w:rPr>
        <w:t>Дутастерид</w:t>
      </w:r>
      <w:proofErr w:type="spellEnd"/>
    </w:p>
    <w:p w14:paraId="3216B4A1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Нарушения со стороны иммунной системы</w:t>
      </w:r>
    </w:p>
    <w:p w14:paraId="2C1C5AA8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Частота неизвестна: </w:t>
      </w:r>
      <w:bookmarkStart w:id="19" w:name="_Hlk55374812"/>
      <w:r w:rsidRPr="0067075A">
        <w:rPr>
          <w:rFonts w:ascii="Times New Roman" w:hAnsi="Times New Roman"/>
          <w:sz w:val="24"/>
          <w:szCs w:val="24"/>
        </w:rPr>
        <w:t>аллергические реакции</w:t>
      </w:r>
      <w:bookmarkEnd w:id="19"/>
      <w:r w:rsidRPr="0067075A">
        <w:rPr>
          <w:rFonts w:ascii="Times New Roman" w:hAnsi="Times New Roman"/>
          <w:sz w:val="24"/>
          <w:szCs w:val="24"/>
        </w:rPr>
        <w:t xml:space="preserve">, </w:t>
      </w:r>
      <w:bookmarkStart w:id="20" w:name="_Hlk55374871"/>
      <w:r w:rsidRPr="0067075A">
        <w:rPr>
          <w:rFonts w:ascii="Times New Roman" w:hAnsi="Times New Roman"/>
          <w:sz w:val="24"/>
          <w:szCs w:val="24"/>
        </w:rPr>
        <w:t xml:space="preserve">включая сыпь, зуд, крапивницу, локализованный отек и ангионевротический отек. </w:t>
      </w:r>
    </w:p>
    <w:bookmarkEnd w:id="20"/>
    <w:p w14:paraId="56CEB486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Нарушения со стороны психики</w:t>
      </w:r>
    </w:p>
    <w:p w14:paraId="52F05C2F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Частота неизвестна: </w:t>
      </w:r>
      <w:bookmarkStart w:id="21" w:name="_Hlk55374955"/>
      <w:r w:rsidRPr="0067075A">
        <w:rPr>
          <w:rFonts w:ascii="Times New Roman" w:hAnsi="Times New Roman"/>
          <w:sz w:val="24"/>
          <w:szCs w:val="24"/>
        </w:rPr>
        <w:t>депрессия.</w:t>
      </w:r>
    </w:p>
    <w:bookmarkEnd w:id="21"/>
    <w:p w14:paraId="6A0D594E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Нарушения со стороны кожи и подкожных тканей</w:t>
      </w:r>
    </w:p>
    <w:p w14:paraId="1D27E433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Нечасто: алопеция (преимущественно потеря волос на теле), гипертрихоз.</w:t>
      </w:r>
    </w:p>
    <w:p w14:paraId="1E6A2A5B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Нарушения со стороны репродуктивной системы и молочных желез</w:t>
      </w:r>
    </w:p>
    <w:p w14:paraId="69E7B6E1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Частота неизвестна: </w:t>
      </w:r>
      <w:bookmarkStart w:id="22" w:name="_Hlk55375054"/>
      <w:r w:rsidRPr="0067075A">
        <w:rPr>
          <w:rFonts w:ascii="Times New Roman" w:hAnsi="Times New Roman"/>
          <w:sz w:val="24"/>
          <w:szCs w:val="24"/>
        </w:rPr>
        <w:t>боль и отек яичек</w:t>
      </w:r>
      <w:bookmarkEnd w:id="22"/>
      <w:r w:rsidRPr="0067075A">
        <w:rPr>
          <w:rFonts w:ascii="Times New Roman" w:hAnsi="Times New Roman"/>
          <w:sz w:val="24"/>
          <w:szCs w:val="24"/>
        </w:rPr>
        <w:t xml:space="preserve">. </w:t>
      </w:r>
    </w:p>
    <w:p w14:paraId="795FBD10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7075A">
        <w:rPr>
          <w:rFonts w:ascii="Times New Roman" w:hAnsi="Times New Roman"/>
          <w:i/>
          <w:iCs/>
          <w:sz w:val="24"/>
          <w:szCs w:val="24"/>
        </w:rPr>
        <w:t>Тамсулозин</w:t>
      </w:r>
      <w:proofErr w:type="spellEnd"/>
      <w:r w:rsidRPr="0067075A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8E4FB28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Во время наблюдения в пострегистрационный период сообщалось о развитии флоппи-ирис синдрома (ИФИС), разновидности синдрома маленького зрачка в ходе операций по удалению катаракты у пациентов, которые получали антагонисты альфа1- </w:t>
      </w:r>
      <w:proofErr w:type="spellStart"/>
      <w:r w:rsidRPr="0067075A">
        <w:rPr>
          <w:rFonts w:ascii="Times New Roman" w:hAnsi="Times New Roman"/>
          <w:sz w:val="24"/>
          <w:szCs w:val="24"/>
        </w:rPr>
        <w:t>адренорецепторов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, включая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(см. раздел 4.4). </w:t>
      </w:r>
    </w:p>
    <w:p w14:paraId="3384208C" w14:textId="77777777" w:rsidR="002107EA" w:rsidRPr="0067075A" w:rsidRDefault="002107EA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Кроме того, при приеме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сообщалось о фибрилляции предсердий, аритмии, тахикардии, одышке, носовом кровотечении, нечеткости зрения, нарушении зрения, </w:t>
      </w:r>
      <w:proofErr w:type="spellStart"/>
      <w:r w:rsidRPr="0067075A">
        <w:rPr>
          <w:rFonts w:ascii="Times New Roman" w:hAnsi="Times New Roman"/>
          <w:sz w:val="24"/>
          <w:szCs w:val="24"/>
        </w:rPr>
        <w:t>мультиформной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эритеме, </w:t>
      </w:r>
      <w:proofErr w:type="spellStart"/>
      <w:r w:rsidRPr="0067075A">
        <w:rPr>
          <w:rFonts w:ascii="Times New Roman" w:hAnsi="Times New Roman"/>
          <w:sz w:val="24"/>
          <w:szCs w:val="24"/>
        </w:rPr>
        <w:t>эксфолиативном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дерматите, нарушении эякуляции, ретроградной эякуляции, отсутствии эякуляции и сухости во рту. Невозможно достоверно определить частоту перечисленных нежелательных явлений и роль </w:t>
      </w:r>
      <w:proofErr w:type="spellStart"/>
      <w:r w:rsidRPr="0067075A">
        <w:rPr>
          <w:rFonts w:ascii="Times New Roman" w:hAnsi="Times New Roman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</w:rPr>
        <w:t xml:space="preserve"> в их возникновении.</w:t>
      </w:r>
    </w:p>
    <w:p w14:paraId="6EE16DBA" w14:textId="77777777" w:rsidR="00BC5207" w:rsidRPr="0067075A" w:rsidRDefault="00BC5207" w:rsidP="00210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B74BA" w14:textId="77777777" w:rsidR="00814DFC" w:rsidRPr="0067075A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075A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58F9DCA9" w14:textId="77777777" w:rsidR="004528E1" w:rsidRPr="0067075A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67075A">
        <w:rPr>
          <w:rFonts w:ascii="Times New Roman" w:hAnsi="Times New Roman"/>
          <w:sz w:val="24"/>
          <w:szCs w:val="24"/>
        </w:rPr>
        <w:t>ЛП</w:t>
      </w:r>
      <w:r w:rsidRPr="0067075A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67075A">
        <w:rPr>
          <w:rFonts w:ascii="Times New Roman" w:hAnsi="Times New Roman"/>
          <w:sz w:val="24"/>
          <w:szCs w:val="24"/>
        </w:rPr>
        <w:t>ЛП</w:t>
      </w:r>
      <w:r w:rsidRPr="0067075A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67075A">
        <w:rPr>
          <w:rFonts w:ascii="Times New Roman" w:hAnsi="Times New Roman"/>
          <w:sz w:val="24"/>
          <w:szCs w:val="24"/>
        </w:rPr>
        <w:t>ЛП</w:t>
      </w:r>
      <w:r w:rsidRPr="0067075A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67075A">
        <w:rPr>
          <w:rFonts w:ascii="Times New Roman" w:hAnsi="Times New Roman"/>
          <w:sz w:val="24"/>
          <w:szCs w:val="24"/>
        </w:rPr>
        <w:t xml:space="preserve"> </w:t>
      </w:r>
    </w:p>
    <w:p w14:paraId="0493181D" w14:textId="77777777" w:rsidR="004528E1" w:rsidRPr="0067075A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lastRenderedPageBreak/>
        <w:t>РГП на ПХВ «Национальный Центр экспертизы лекарственных</w:t>
      </w:r>
      <w:r w:rsidR="00416507" w:rsidRPr="0067075A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</w:p>
    <w:p w14:paraId="1A10C669" w14:textId="77777777" w:rsidR="00814DFC" w:rsidRPr="0067075A" w:rsidRDefault="007C5732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67075A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67075A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67075A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67075A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67075A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67075A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67075A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109874A0" w14:textId="77777777" w:rsidR="009D67EC" w:rsidRPr="0067075A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BEE6BB" w14:textId="77777777" w:rsidR="00123DB5" w:rsidRPr="0067075A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0DA66E27" w14:textId="77777777" w:rsidR="00437360" w:rsidRPr="0067075A" w:rsidRDefault="00437360" w:rsidP="00437360">
      <w:pPr>
        <w:tabs>
          <w:tab w:val="left" w:pos="8647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7075A">
        <w:rPr>
          <w:rFonts w:ascii="Times New Roman" w:hAnsi="Times New Roman"/>
          <w:sz w:val="24"/>
          <w:szCs w:val="28"/>
        </w:rPr>
        <w:t xml:space="preserve">Отсутствуют </w:t>
      </w:r>
      <w:r w:rsidR="00D11CF9" w:rsidRPr="0067075A">
        <w:rPr>
          <w:rFonts w:ascii="Times New Roman" w:hAnsi="Times New Roman"/>
          <w:sz w:val="24"/>
          <w:szCs w:val="28"/>
        </w:rPr>
        <w:t>сведения</w:t>
      </w:r>
      <w:r w:rsidRPr="0067075A">
        <w:rPr>
          <w:rFonts w:ascii="Times New Roman" w:hAnsi="Times New Roman"/>
          <w:sz w:val="24"/>
          <w:szCs w:val="28"/>
        </w:rPr>
        <w:t xml:space="preserve"> </w:t>
      </w:r>
      <w:r w:rsidR="00D11CF9" w:rsidRPr="0067075A">
        <w:rPr>
          <w:rFonts w:ascii="Times New Roman" w:hAnsi="Times New Roman"/>
          <w:sz w:val="24"/>
          <w:szCs w:val="28"/>
        </w:rPr>
        <w:t>касающиеся</w:t>
      </w:r>
      <w:r w:rsidRPr="0067075A">
        <w:rPr>
          <w:rFonts w:ascii="Times New Roman" w:hAnsi="Times New Roman"/>
          <w:sz w:val="24"/>
          <w:szCs w:val="28"/>
        </w:rPr>
        <w:t xml:space="preserve"> передозировки</w:t>
      </w:r>
      <w:r w:rsidR="0077269D" w:rsidRPr="0067075A">
        <w:rPr>
          <w:rFonts w:ascii="Times New Roman" w:hAnsi="Times New Roman"/>
          <w:sz w:val="24"/>
          <w:szCs w:val="28"/>
        </w:rPr>
        <w:t xml:space="preserve"> </w:t>
      </w:r>
      <w:r w:rsidR="00D11CF9" w:rsidRPr="0067075A">
        <w:rPr>
          <w:rFonts w:ascii="Times New Roman" w:hAnsi="Times New Roman"/>
          <w:sz w:val="24"/>
          <w:szCs w:val="28"/>
        </w:rPr>
        <w:t>комбин</w:t>
      </w:r>
      <w:r w:rsidR="0077269D" w:rsidRPr="0067075A">
        <w:rPr>
          <w:rFonts w:ascii="Times New Roman" w:hAnsi="Times New Roman"/>
          <w:sz w:val="24"/>
          <w:szCs w:val="28"/>
        </w:rPr>
        <w:t>ацией</w:t>
      </w:r>
      <w:r w:rsidRPr="0067075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67075A">
        <w:rPr>
          <w:rFonts w:ascii="Times New Roman" w:hAnsi="Times New Roman"/>
          <w:sz w:val="24"/>
          <w:szCs w:val="28"/>
        </w:rPr>
        <w:t>дутастерид</w:t>
      </w:r>
      <w:r w:rsidR="0077269D" w:rsidRPr="0067075A">
        <w:rPr>
          <w:rFonts w:ascii="Times New Roman" w:hAnsi="Times New Roman"/>
          <w:sz w:val="24"/>
          <w:szCs w:val="28"/>
        </w:rPr>
        <w:t>-</w:t>
      </w:r>
      <w:r w:rsidRPr="0067075A">
        <w:rPr>
          <w:rFonts w:ascii="Times New Roman" w:hAnsi="Times New Roman"/>
          <w:sz w:val="24"/>
          <w:szCs w:val="28"/>
        </w:rPr>
        <w:t>тамсулозин</w:t>
      </w:r>
      <w:proofErr w:type="spellEnd"/>
      <w:r w:rsidRPr="0067075A">
        <w:rPr>
          <w:rFonts w:ascii="Times New Roman" w:hAnsi="Times New Roman"/>
          <w:sz w:val="24"/>
          <w:szCs w:val="28"/>
        </w:rPr>
        <w:t>. Приведенные ниже данные отражают информацию</w:t>
      </w:r>
      <w:r w:rsidR="00D11CF9" w:rsidRPr="0067075A">
        <w:rPr>
          <w:rFonts w:ascii="Times New Roman" w:hAnsi="Times New Roman"/>
          <w:sz w:val="24"/>
          <w:szCs w:val="28"/>
        </w:rPr>
        <w:t xml:space="preserve"> </w:t>
      </w:r>
      <w:r w:rsidRPr="0067075A">
        <w:rPr>
          <w:rFonts w:ascii="Times New Roman" w:hAnsi="Times New Roman"/>
          <w:sz w:val="24"/>
          <w:szCs w:val="28"/>
        </w:rPr>
        <w:t>об отдельных компонентах.</w:t>
      </w:r>
    </w:p>
    <w:p w14:paraId="44DC75F4" w14:textId="77777777" w:rsidR="00D11CF9" w:rsidRPr="0067075A" w:rsidRDefault="00437360" w:rsidP="00437360">
      <w:pPr>
        <w:tabs>
          <w:tab w:val="left" w:pos="8647"/>
          <w:tab w:val="left" w:pos="9072"/>
        </w:tabs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proofErr w:type="spellStart"/>
      <w:r w:rsidRPr="0067075A">
        <w:rPr>
          <w:rFonts w:ascii="Times New Roman" w:hAnsi="Times New Roman"/>
          <w:i/>
          <w:sz w:val="24"/>
          <w:szCs w:val="28"/>
        </w:rPr>
        <w:t>Дутастерид</w:t>
      </w:r>
      <w:proofErr w:type="spellEnd"/>
    </w:p>
    <w:p w14:paraId="58A5FCC9" w14:textId="77777777" w:rsidR="00BC5207" w:rsidRPr="0067075A" w:rsidRDefault="00BC5207" w:rsidP="00BC52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075A">
        <w:rPr>
          <w:rFonts w:ascii="Times New Roman" w:hAnsi="Times New Roman"/>
          <w:color w:val="000000"/>
          <w:sz w:val="24"/>
          <w:szCs w:val="24"/>
        </w:rPr>
        <w:t xml:space="preserve">В исследованиях с участием добровольцев, прием один раз в сутки </w:t>
      </w:r>
      <w:proofErr w:type="spellStart"/>
      <w:r w:rsidRPr="0067075A">
        <w:rPr>
          <w:rFonts w:ascii="Times New Roman" w:hAnsi="Times New Roman"/>
          <w:color w:val="000000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color w:val="000000"/>
          <w:sz w:val="24"/>
          <w:szCs w:val="24"/>
        </w:rPr>
        <w:t xml:space="preserve"> в дозах до 40 мг/</w:t>
      </w:r>
      <w:proofErr w:type="spellStart"/>
      <w:r w:rsidRPr="0067075A">
        <w:rPr>
          <w:rFonts w:ascii="Times New Roman" w:hAnsi="Times New Roman"/>
          <w:color w:val="000000"/>
          <w:sz w:val="24"/>
          <w:szCs w:val="24"/>
        </w:rPr>
        <w:t>сут</w:t>
      </w:r>
      <w:proofErr w:type="spellEnd"/>
      <w:r w:rsidRPr="0067075A">
        <w:rPr>
          <w:rFonts w:ascii="Times New Roman" w:hAnsi="Times New Roman"/>
          <w:color w:val="000000"/>
          <w:sz w:val="24"/>
          <w:szCs w:val="24"/>
        </w:rPr>
        <w:t xml:space="preserve"> (в 80 раз выше терапевтической дозы) в течение 7 суток не вызывал серьезных проблем с безопасностью. В клинических исследованиях не наблюдалось нежелательных явлений при приеме 5 мг в сутки в течение 6 месяцев по сравнению с терапевтическими дозами (0.5 мг в сутки). Отсутствует специальный антидот для </w:t>
      </w:r>
      <w:proofErr w:type="spellStart"/>
      <w:r w:rsidRPr="0067075A">
        <w:rPr>
          <w:rFonts w:ascii="Times New Roman" w:hAnsi="Times New Roman"/>
          <w:color w:val="000000"/>
          <w:sz w:val="24"/>
          <w:szCs w:val="24"/>
        </w:rPr>
        <w:t>дутастерида</w:t>
      </w:r>
      <w:proofErr w:type="spellEnd"/>
      <w:r w:rsidRPr="0067075A">
        <w:rPr>
          <w:rFonts w:ascii="Times New Roman" w:hAnsi="Times New Roman"/>
          <w:color w:val="000000"/>
          <w:sz w:val="24"/>
          <w:szCs w:val="24"/>
        </w:rPr>
        <w:t xml:space="preserve">, поэтому при подозрении на передозировку следует назначать симптоматическую и поддерживающую терапию. </w:t>
      </w:r>
    </w:p>
    <w:p w14:paraId="72DFA17A" w14:textId="77777777" w:rsidR="00BC5207" w:rsidRPr="0067075A" w:rsidRDefault="00BC5207" w:rsidP="00BC5207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 w:rsidRPr="0067075A">
        <w:rPr>
          <w:rFonts w:ascii="Times New Roman" w:hAnsi="Times New Roman"/>
          <w:i/>
          <w:iCs/>
          <w:color w:val="000000"/>
          <w:sz w:val="24"/>
          <w:szCs w:val="24"/>
        </w:rPr>
        <w:t>Тамсулозин</w:t>
      </w:r>
      <w:proofErr w:type="spellEnd"/>
      <w:r w:rsidRPr="0067075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14:paraId="0842CC32" w14:textId="77777777" w:rsidR="00BC5207" w:rsidRPr="0067075A" w:rsidRDefault="00BC5207" w:rsidP="00BC52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075A">
        <w:rPr>
          <w:rFonts w:ascii="Times New Roman" w:hAnsi="Times New Roman"/>
          <w:color w:val="000000"/>
          <w:sz w:val="24"/>
          <w:szCs w:val="24"/>
        </w:rPr>
        <w:t xml:space="preserve">Сообщалось об острой передозировке при приеме </w:t>
      </w:r>
      <w:proofErr w:type="spellStart"/>
      <w:r w:rsidRPr="0067075A">
        <w:rPr>
          <w:rFonts w:ascii="Times New Roman" w:hAnsi="Times New Roman"/>
          <w:color w:val="000000"/>
          <w:sz w:val="24"/>
          <w:szCs w:val="24"/>
        </w:rPr>
        <w:t>тамсулозина</w:t>
      </w:r>
      <w:proofErr w:type="spellEnd"/>
      <w:r w:rsidRPr="0067075A">
        <w:rPr>
          <w:rFonts w:ascii="Times New Roman" w:hAnsi="Times New Roman"/>
          <w:color w:val="000000"/>
          <w:sz w:val="24"/>
          <w:szCs w:val="24"/>
        </w:rPr>
        <w:t xml:space="preserve"> гидрохлорида в дозе      5 мг. Наблюдалось развитие острой гипотензии (систолическое артериальное давление 70 мм рт. ст.), рвоте и диарее, которые лечили восполнением потерянной жидкости, со значительным улучшением и выпиской пациента в тот же день. В случае острой гипотензии, возникшей вследствие передозировки, необходимо оказать поддержку деятельности сердечно-сосудистой системы. Пациенту следует принять горизонтальное положение, что поможет восстановить артериальное давление и нормализовать частоту сердечных сокращений. Если это не помогает, можно применить средства, увеличивающие объем циркулирующей крови, а при необходимости, сосудосуживающие средства. Необходимо контролировать функцию почек и принимать общие поддерживающие меры. Маловероятно, что диализ будет эффективен, поскольку </w:t>
      </w:r>
      <w:proofErr w:type="spellStart"/>
      <w:r w:rsidRPr="0067075A">
        <w:rPr>
          <w:rFonts w:ascii="Times New Roman" w:hAnsi="Times New Roman"/>
          <w:color w:val="000000"/>
          <w:sz w:val="24"/>
          <w:szCs w:val="24"/>
        </w:rPr>
        <w:t>тамсулозин</w:t>
      </w:r>
      <w:proofErr w:type="spellEnd"/>
      <w:r w:rsidRPr="0067075A">
        <w:rPr>
          <w:rFonts w:ascii="Times New Roman" w:hAnsi="Times New Roman"/>
          <w:color w:val="000000"/>
          <w:sz w:val="24"/>
          <w:szCs w:val="24"/>
        </w:rPr>
        <w:t xml:space="preserve"> в очень высокой степени связывается с белками плазмы.</w:t>
      </w:r>
    </w:p>
    <w:p w14:paraId="05A04BD8" w14:textId="77777777" w:rsidR="00BC5207" w:rsidRPr="0067075A" w:rsidRDefault="00BC5207" w:rsidP="00BC52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075A">
        <w:rPr>
          <w:rFonts w:ascii="Times New Roman" w:hAnsi="Times New Roman"/>
          <w:color w:val="000000"/>
          <w:sz w:val="24"/>
          <w:szCs w:val="24"/>
        </w:rPr>
        <w:t>Для предотвращения всасывания, возможно, применение таких мер как вызов рвоты у пациента. При приеме больших доз препарата допускается проведение промывания желудка, прием активированного угля и осмотических слабительных средств, таких как натрия сульфат.</w:t>
      </w:r>
    </w:p>
    <w:p w14:paraId="718A615A" w14:textId="77777777" w:rsidR="00437360" w:rsidRPr="0067075A" w:rsidRDefault="00437360" w:rsidP="00437360">
      <w:pPr>
        <w:tabs>
          <w:tab w:val="left" w:pos="8647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4C5A943" w14:textId="77777777" w:rsidR="00C153F2" w:rsidRPr="0067075A" w:rsidRDefault="00437360" w:rsidP="0043736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707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153F2" w:rsidRPr="0067075A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="00C153F2"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0DFB5B04" w14:textId="77777777" w:rsidR="00C153F2" w:rsidRPr="0067075A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7075A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7EDF5C9A" w14:textId="77777777" w:rsidR="00957BAF" w:rsidRPr="0067075A" w:rsidRDefault="00C153F2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r w:rsidR="00437360" w:rsidRPr="0067075A">
        <w:rPr>
          <w:rFonts w:ascii="Times New Roman" w:eastAsia="TimesNewRomanPSMT" w:hAnsi="Times New Roman"/>
          <w:sz w:val="24"/>
          <w:szCs w:val="24"/>
          <w:lang w:eastAsia="ru-RU"/>
        </w:rPr>
        <w:t xml:space="preserve">Урологические препараты. Препараты для лечения доброкачественной гипертрофии простаты. Альфа-адреноблокаторы. </w:t>
      </w:r>
      <w:proofErr w:type="spellStart"/>
      <w:r w:rsidR="00437360" w:rsidRPr="0067075A">
        <w:rPr>
          <w:rFonts w:ascii="Times New Roman" w:eastAsia="TimesNewRomanPSMT" w:hAnsi="Times New Roman"/>
          <w:sz w:val="24"/>
          <w:szCs w:val="24"/>
          <w:lang w:eastAsia="ru-RU"/>
        </w:rPr>
        <w:t>Тамсулозин</w:t>
      </w:r>
      <w:proofErr w:type="spellEnd"/>
      <w:r w:rsidR="00437360" w:rsidRPr="0067075A">
        <w:rPr>
          <w:rFonts w:ascii="Times New Roman" w:eastAsia="TimesNewRomanPSMT" w:hAnsi="Times New Roman"/>
          <w:sz w:val="24"/>
          <w:szCs w:val="24"/>
          <w:lang w:eastAsia="ru-RU"/>
        </w:rPr>
        <w:t xml:space="preserve"> и </w:t>
      </w:r>
      <w:proofErr w:type="spellStart"/>
      <w:r w:rsidR="00437360" w:rsidRPr="0067075A">
        <w:rPr>
          <w:rFonts w:ascii="Times New Roman" w:eastAsia="TimesNewRomanPSMT" w:hAnsi="Times New Roman"/>
          <w:sz w:val="24"/>
          <w:szCs w:val="24"/>
          <w:lang w:eastAsia="ru-RU"/>
        </w:rPr>
        <w:t>Дутастерид</w:t>
      </w:r>
      <w:proofErr w:type="spellEnd"/>
      <w:r w:rsidR="00437360" w:rsidRPr="0067075A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59F069F8" w14:textId="77777777" w:rsidR="00C153F2" w:rsidRPr="0067075A" w:rsidRDefault="00957BAF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Код ATХ</w:t>
      </w:r>
      <w:r w:rsidR="00437360" w:rsidRPr="0067075A">
        <w:rPr>
          <w:rFonts w:ascii="Times New Roman" w:eastAsia="TimesNewRomanPSMT" w:hAnsi="Times New Roman"/>
          <w:sz w:val="24"/>
          <w:szCs w:val="24"/>
          <w:lang w:eastAsia="ru-RU"/>
        </w:rPr>
        <w:t xml:space="preserve"> G04CA52</w:t>
      </w:r>
    </w:p>
    <w:p w14:paraId="771E29D4" w14:textId="77777777" w:rsidR="00B06AF9" w:rsidRPr="0067075A" w:rsidRDefault="00B06AF9" w:rsidP="00B06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Механизм действия </w:t>
      </w:r>
    </w:p>
    <w:p w14:paraId="5B37A8F1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Препарат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дутастерид-тамсулозин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представляет собой комбинацию двух лекарственных веществ: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– двойного ингибитора 5 α-редуктазы 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гидрохлорида – антагониста α1а и α1d-адренорецепторов. Данные средства обладают комплементарными механизмами действия, вследствие чего происходит быстрое улучшение симптомов и скорости мочеиспускания, снижение риска острой задержки мочи (ОЗМ) и необходимости проведения хирургической операции по поводу ДГПЖ. </w:t>
      </w:r>
    </w:p>
    <w:p w14:paraId="01591A5E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подавляет изоферменты 5 альфа-редуктазы 1 и 2 типов, которые отвечают за превращение тестостерона в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дигидротестостерон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(ДГТ). ДГТ является андрогеном, который преимущественно отвечает за рост предстательной железы и развитие ДГПЖ.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подавляет активность α1a и α1d-адренорецепторов в гладкой мускулатуре </w:t>
      </w:r>
      <w:r w:rsidRPr="0067075A">
        <w:rPr>
          <w:rFonts w:ascii="Times New Roman" w:hAnsi="Times New Roman"/>
          <w:iCs/>
          <w:sz w:val="24"/>
          <w:szCs w:val="24"/>
          <w:lang w:bidi="ru-RU"/>
        </w:rPr>
        <w:lastRenderedPageBreak/>
        <w:t>стромы предстательной железы и шейке мочевого пузыря. Около 75% α1-рецепторов в предстательной железе относятся к подтипу α1a.</w:t>
      </w:r>
    </w:p>
    <w:p w14:paraId="52554271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/>
          <w:iCs/>
          <w:sz w:val="24"/>
          <w:szCs w:val="24"/>
          <w:lang w:eastAsia="ru-RU"/>
        </w:rPr>
        <w:t>Фармакодинамические эффекты</w:t>
      </w:r>
    </w:p>
    <w:p w14:paraId="2BE2CF08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Одновременный прием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тамсулозином</w:t>
      </w:r>
      <w:proofErr w:type="spellEnd"/>
    </w:p>
    <w:p w14:paraId="372D2D04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Данные, представленные ниже отражают имеющуюся информацию об одновременном приеме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>.</w:t>
      </w:r>
    </w:p>
    <w:p w14:paraId="5B24B464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0.5 мг/сутки (n = 1623),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0.4 мг/сутки (n = 1611) или совместный прием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0.5 мг плюс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0.4 мг (n = 1610) оценивались у мужчин с умеренными и тяжелыми симптомами ДГПЖ среди пациентов с объемом предстательной железой ≥ 30 мл и значением ПСА в диапазоне 1.5-10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>/мл.</w:t>
      </w:r>
    </w:p>
    <w:p w14:paraId="2A29342D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В 4-летнем многоцентровом, многонациональном, рандомизированном двойном слепом исследовании в параллельных группах с участием мужчин с умеренными и тяжелыми симптомами ДГПЖ, имеющих объем предстательной железы ≥30 мл и значение ПСА в диапазоне 1.5-10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/мл, оценивали применение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в дозе 0.5 мг/сутки (n = 1623),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в дозе 0.4 мг/сутки (n = 1611) или одновременный прием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0.5 мг плюс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0.4 мг (n = 1610). Около 53% пациентов ранее подвергались воздействию ингибитора 5-альфа-редуктазы или антагониста альфа-1-адренорецепторов. Первичной конечной точкой эффективности в течение первых 2 лет лечения было изменение по международной шкале симптомов заболевания предстательной железы (IPSS), инструмента, состоящего из 8 пунктов, основанного на AUA-SI, с дополнительным опросом о качестве жизни. Вторичные конечные точки эффективности, оценивались через 2 года и включали максимальную скорость потока мочи (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Q</w:t>
      </w:r>
      <w:r w:rsidRPr="0067075A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) и объем предстательной железы. Результаты IPSS в группе, получавшей комбинацию, достигли значительного показателя начиная с 3 месяц, по сравнению с группой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, и начиная с 9 месяца по сравнению с группой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. Результаты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Q</w:t>
      </w:r>
      <w:r w:rsidRPr="0067075A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в группе, получавшей </w:t>
      </w:r>
      <w:proofErr w:type="gramStart"/>
      <w:r w:rsidRPr="0067075A">
        <w:rPr>
          <w:rFonts w:ascii="Times New Roman" w:hAnsi="Times New Roman"/>
          <w:sz w:val="24"/>
          <w:szCs w:val="24"/>
          <w:lang w:eastAsia="ru-RU"/>
        </w:rPr>
        <w:t>комбинацию</w:t>
      </w:r>
      <w:proofErr w:type="gram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достигли значительного показателя начиная с 6 месяца по сравнению с группами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>.</w:t>
      </w:r>
    </w:p>
    <w:p w14:paraId="09C35FA5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Комбинация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эффективнее облегчает симптомы, чем каждый из этих компонентов по отдельности. После 2 лет лечения в группе комбинированной терапии наблюдалось статистически значимое скорректированное среднее улучшение оценки по шкале симптомов, которое составило -6.2 баллов от исходного значения. </w:t>
      </w:r>
    </w:p>
    <w:p w14:paraId="2738E062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Скорректированное среднее улучшение скорости мочеиспускания по сравнению с исходным уровнем составило 2.4 мл/сек в группе комбинированной терапии; 1.9 мл/сек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0.9 мл/сек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. Скорректированное среднее улучшение индекса влияния ДГПЖ (BII) по сравнению с исходным уровнем составило - 2.1 баллов в группе комбинированной терапии; -1.7 баллов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-1.5 баллов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. Наблюдаемые улучшения скорости мочеиспускания и индекса влияния ДГПЖ были статистически значимыми в группе комбинированной терапии, по сравнению с обеими группами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монотерапии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4C04E638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Снижение общего объема предстательной железы и объема переходной зоны после 2 лет лечения было статистически значимым в группе комбинированной терапии, по сравнению с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монотерапией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тамсулозином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7300CB48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Первичной конечной точкой эффективности после 4 лет лечения было время до развития первого случая ОЗМ или хирургической операции в связи с ДГПЖ. После 4 лет лечения, комбинированная терапия значительно снижала риск ОЗМ или хирургических операций в связи с ДГПЖ (снижение риска на 65.8%, p </w:t>
      </w:r>
      <w:proofErr w:type="gramStart"/>
      <w:r w:rsidRPr="0067075A">
        <w:rPr>
          <w:rFonts w:ascii="Times New Roman" w:hAnsi="Times New Roman"/>
          <w:sz w:val="24"/>
          <w:szCs w:val="24"/>
          <w:lang w:eastAsia="ru-RU"/>
        </w:rPr>
        <w:t>&lt; 0.001</w:t>
      </w:r>
      <w:proofErr w:type="gram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[95% ДИ 54.7% - 74.1%]) по сравнению с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монотерапией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тамсулозином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. Частота случаев ОЗМ или хирургических операций в связи с ДГПЖ за 4 года составила 4.2% в группе комбинированной терапии и 11.9%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(p </w:t>
      </w:r>
      <w:proofErr w:type="gramStart"/>
      <w:r w:rsidRPr="0067075A">
        <w:rPr>
          <w:rFonts w:ascii="Times New Roman" w:hAnsi="Times New Roman"/>
          <w:sz w:val="24"/>
          <w:szCs w:val="24"/>
          <w:lang w:eastAsia="ru-RU"/>
        </w:rPr>
        <w:t>&lt; 0.001</w:t>
      </w:r>
      <w:proofErr w:type="gram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). По сравнению с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монотерапией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дутастеридом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, комбинированная терапия на 19.6% снижала риск ОЗМ или хирургических вмешательств в связи с ДГПЖ (p = 0.18 [95% ДИ -10.9% - 41.7%]). </w:t>
      </w:r>
      <w:r w:rsidRPr="0067075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частота случаев ОЗМ или хирургических операций в связи с ДГПЖ за 4 года составила 5.2%.</w:t>
      </w:r>
    </w:p>
    <w:p w14:paraId="00837A4D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>Вторичные конечные точки эффективности после 4 лет лечения, включали время до клинического прогрессирования (совокупность показателей, включавших ухудшение по шкале IPSS на ≥4 балла, случаи ОЗМ, связанные с ДГПЖ, недержание мочи, инфекция мочевыводящих путей (ИМП) и почечная недостаточность); изменение по международной шкале симптомов заболевания предстательной железы (IPSS), изменение максимальной скорости мочеиспускания и объема предстательной железы. Результаты исследования, полученные после 4 лет терапии представлены ниже.</w:t>
      </w:r>
    </w:p>
    <w:p w14:paraId="4EF79A3D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286"/>
        <w:gridCol w:w="1546"/>
        <w:gridCol w:w="1523"/>
        <w:gridCol w:w="1487"/>
      </w:tblGrid>
      <w:tr w:rsidR="007C1F6D" w:rsidRPr="0067075A" w14:paraId="6319482C" w14:textId="77777777" w:rsidTr="00665315">
        <w:tc>
          <w:tcPr>
            <w:tcW w:w="2445" w:type="dxa"/>
            <w:shd w:val="clear" w:color="auto" w:fill="auto"/>
          </w:tcPr>
          <w:p w14:paraId="0BE4EDD5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2286" w:type="dxa"/>
            <w:shd w:val="clear" w:color="auto" w:fill="auto"/>
          </w:tcPr>
          <w:p w14:paraId="6884B0E2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Период времени</w:t>
            </w:r>
          </w:p>
        </w:tc>
        <w:tc>
          <w:tcPr>
            <w:tcW w:w="1546" w:type="dxa"/>
            <w:shd w:val="clear" w:color="auto" w:fill="auto"/>
          </w:tcPr>
          <w:p w14:paraId="4582CA42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Комбинация</w:t>
            </w:r>
          </w:p>
        </w:tc>
        <w:tc>
          <w:tcPr>
            <w:tcW w:w="1523" w:type="dxa"/>
            <w:shd w:val="clear" w:color="auto" w:fill="auto"/>
          </w:tcPr>
          <w:p w14:paraId="45961EFE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Дутастерид</w:t>
            </w:r>
            <w:proofErr w:type="spellEnd"/>
          </w:p>
        </w:tc>
        <w:tc>
          <w:tcPr>
            <w:tcW w:w="1487" w:type="dxa"/>
            <w:shd w:val="clear" w:color="auto" w:fill="auto"/>
          </w:tcPr>
          <w:p w14:paraId="2B2FC806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Тамсулозин</w:t>
            </w:r>
            <w:proofErr w:type="spellEnd"/>
          </w:p>
        </w:tc>
      </w:tr>
      <w:tr w:rsidR="007C1F6D" w:rsidRPr="0067075A" w14:paraId="2EF83F17" w14:textId="77777777" w:rsidTr="00665315">
        <w:tc>
          <w:tcPr>
            <w:tcW w:w="2445" w:type="dxa"/>
            <w:shd w:val="clear" w:color="auto" w:fill="auto"/>
          </w:tcPr>
          <w:p w14:paraId="5BF2B073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ОЗМ или хирургическое вмешательство в связи с ДГПЖ (%)</w:t>
            </w:r>
          </w:p>
        </w:tc>
        <w:tc>
          <w:tcPr>
            <w:tcW w:w="2286" w:type="dxa"/>
            <w:shd w:val="clear" w:color="auto" w:fill="auto"/>
          </w:tcPr>
          <w:p w14:paraId="08681E46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Частота через 48 месяцев</w:t>
            </w:r>
          </w:p>
        </w:tc>
        <w:tc>
          <w:tcPr>
            <w:tcW w:w="1546" w:type="dxa"/>
            <w:shd w:val="clear" w:color="auto" w:fill="auto"/>
          </w:tcPr>
          <w:p w14:paraId="1D5E0586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523" w:type="dxa"/>
            <w:shd w:val="clear" w:color="auto" w:fill="auto"/>
          </w:tcPr>
          <w:p w14:paraId="3B06B1F5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487" w:type="dxa"/>
            <w:shd w:val="clear" w:color="auto" w:fill="auto"/>
          </w:tcPr>
          <w:p w14:paraId="0AE5DA66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11.9a</w:t>
            </w:r>
          </w:p>
        </w:tc>
      </w:tr>
      <w:tr w:rsidR="007C1F6D" w:rsidRPr="0067075A" w14:paraId="38E26DF6" w14:textId="77777777" w:rsidTr="00665315">
        <w:tc>
          <w:tcPr>
            <w:tcW w:w="2445" w:type="dxa"/>
            <w:shd w:val="clear" w:color="auto" w:fill="auto"/>
          </w:tcPr>
          <w:p w14:paraId="04992C80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Клиническое прогрессирование* (%)</w:t>
            </w:r>
          </w:p>
        </w:tc>
        <w:tc>
          <w:tcPr>
            <w:tcW w:w="2286" w:type="dxa"/>
            <w:shd w:val="clear" w:color="auto" w:fill="auto"/>
          </w:tcPr>
          <w:p w14:paraId="034CE77F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48 месяцев</w:t>
            </w:r>
          </w:p>
        </w:tc>
        <w:tc>
          <w:tcPr>
            <w:tcW w:w="1546" w:type="dxa"/>
            <w:shd w:val="clear" w:color="auto" w:fill="auto"/>
          </w:tcPr>
          <w:p w14:paraId="3859A112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1523" w:type="dxa"/>
            <w:shd w:val="clear" w:color="auto" w:fill="auto"/>
          </w:tcPr>
          <w:p w14:paraId="6184F047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17.8b</w:t>
            </w:r>
          </w:p>
        </w:tc>
        <w:tc>
          <w:tcPr>
            <w:tcW w:w="1487" w:type="dxa"/>
            <w:shd w:val="clear" w:color="auto" w:fill="auto"/>
          </w:tcPr>
          <w:p w14:paraId="4402C23D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21.5a</w:t>
            </w:r>
          </w:p>
        </w:tc>
      </w:tr>
      <w:tr w:rsidR="007C1F6D" w:rsidRPr="0067075A" w14:paraId="086A1C20" w14:textId="77777777" w:rsidTr="00665315">
        <w:tc>
          <w:tcPr>
            <w:tcW w:w="2445" w:type="dxa"/>
            <w:shd w:val="clear" w:color="auto" w:fill="auto"/>
          </w:tcPr>
          <w:p w14:paraId="61A13B00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IPSS (баллы)</w:t>
            </w:r>
          </w:p>
        </w:tc>
        <w:tc>
          <w:tcPr>
            <w:tcW w:w="2286" w:type="dxa"/>
            <w:shd w:val="clear" w:color="auto" w:fill="auto"/>
          </w:tcPr>
          <w:p w14:paraId="01615787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[Исходный уровень] 48 месяцев (изменение от исходного уровня)</w:t>
            </w:r>
          </w:p>
        </w:tc>
        <w:tc>
          <w:tcPr>
            <w:tcW w:w="1546" w:type="dxa"/>
            <w:shd w:val="clear" w:color="auto" w:fill="auto"/>
          </w:tcPr>
          <w:p w14:paraId="0E67986F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[16.6] </w:t>
            </w:r>
          </w:p>
          <w:p w14:paraId="374F8B41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-6.3</w:t>
            </w:r>
          </w:p>
        </w:tc>
        <w:tc>
          <w:tcPr>
            <w:tcW w:w="1523" w:type="dxa"/>
            <w:shd w:val="clear" w:color="auto" w:fill="auto"/>
          </w:tcPr>
          <w:p w14:paraId="019E130C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[16.4] </w:t>
            </w:r>
          </w:p>
          <w:p w14:paraId="284D67A9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-5.3b</w:t>
            </w:r>
          </w:p>
        </w:tc>
        <w:tc>
          <w:tcPr>
            <w:tcW w:w="1487" w:type="dxa"/>
            <w:shd w:val="clear" w:color="auto" w:fill="auto"/>
          </w:tcPr>
          <w:p w14:paraId="3C8E8FFE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[16.4] </w:t>
            </w:r>
          </w:p>
          <w:p w14:paraId="4436E132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-3.8a</w:t>
            </w:r>
          </w:p>
        </w:tc>
      </w:tr>
      <w:tr w:rsidR="007C1F6D" w:rsidRPr="0067075A" w14:paraId="5F8D91D9" w14:textId="77777777" w:rsidTr="00665315">
        <w:tc>
          <w:tcPr>
            <w:tcW w:w="2445" w:type="dxa"/>
            <w:shd w:val="clear" w:color="auto" w:fill="auto"/>
          </w:tcPr>
          <w:p w14:paraId="69C5ACBF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Q</w:t>
            </w: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 (мл/сек)</w:t>
            </w:r>
          </w:p>
        </w:tc>
        <w:tc>
          <w:tcPr>
            <w:tcW w:w="2286" w:type="dxa"/>
            <w:shd w:val="clear" w:color="auto" w:fill="auto"/>
          </w:tcPr>
          <w:p w14:paraId="5F811345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[Исходный уровень] 48 месяцев (изменение от исходного уровня)</w:t>
            </w:r>
          </w:p>
        </w:tc>
        <w:tc>
          <w:tcPr>
            <w:tcW w:w="1546" w:type="dxa"/>
            <w:shd w:val="clear" w:color="auto" w:fill="auto"/>
          </w:tcPr>
          <w:p w14:paraId="75CD2FE1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[10.9] </w:t>
            </w:r>
          </w:p>
          <w:p w14:paraId="5BB2C791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523" w:type="dxa"/>
            <w:shd w:val="clear" w:color="auto" w:fill="auto"/>
          </w:tcPr>
          <w:p w14:paraId="749EF730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[10.6] </w:t>
            </w:r>
          </w:p>
          <w:p w14:paraId="117DF3C3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487" w:type="dxa"/>
            <w:shd w:val="clear" w:color="auto" w:fill="auto"/>
          </w:tcPr>
          <w:p w14:paraId="27FD351E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[10.7] </w:t>
            </w:r>
          </w:p>
          <w:p w14:paraId="37EB78FF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0.7a</w:t>
            </w:r>
          </w:p>
        </w:tc>
      </w:tr>
      <w:tr w:rsidR="007C1F6D" w:rsidRPr="0067075A" w14:paraId="66D7D760" w14:textId="77777777" w:rsidTr="00665315">
        <w:tc>
          <w:tcPr>
            <w:tcW w:w="2445" w:type="dxa"/>
            <w:shd w:val="clear" w:color="auto" w:fill="auto"/>
          </w:tcPr>
          <w:p w14:paraId="5521090C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Объем предстательной железы (мл)</w:t>
            </w:r>
          </w:p>
        </w:tc>
        <w:tc>
          <w:tcPr>
            <w:tcW w:w="2286" w:type="dxa"/>
            <w:shd w:val="clear" w:color="auto" w:fill="auto"/>
          </w:tcPr>
          <w:p w14:paraId="6F64FBAE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[Исходный уровень] 48 месяцев (% изменения от исходного уровня)</w:t>
            </w:r>
          </w:p>
        </w:tc>
        <w:tc>
          <w:tcPr>
            <w:tcW w:w="1546" w:type="dxa"/>
            <w:shd w:val="clear" w:color="auto" w:fill="auto"/>
          </w:tcPr>
          <w:p w14:paraId="101838C0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 xml:space="preserve">[54.7] </w:t>
            </w:r>
          </w:p>
          <w:p w14:paraId="0C45DF04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>-27.3</w:t>
            </w:r>
          </w:p>
        </w:tc>
        <w:tc>
          <w:tcPr>
            <w:tcW w:w="1523" w:type="dxa"/>
            <w:shd w:val="clear" w:color="auto" w:fill="auto"/>
          </w:tcPr>
          <w:p w14:paraId="6F8957F2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 xml:space="preserve">[54.6] </w:t>
            </w:r>
          </w:p>
          <w:p w14:paraId="02FFC14D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>-28.0</w:t>
            </w:r>
          </w:p>
        </w:tc>
        <w:tc>
          <w:tcPr>
            <w:tcW w:w="1487" w:type="dxa"/>
            <w:shd w:val="clear" w:color="auto" w:fill="auto"/>
          </w:tcPr>
          <w:p w14:paraId="28A7471E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 xml:space="preserve">[55.8] </w:t>
            </w:r>
          </w:p>
          <w:p w14:paraId="346020D2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>+4.6a</w:t>
            </w:r>
          </w:p>
        </w:tc>
      </w:tr>
      <w:tr w:rsidR="007C1F6D" w:rsidRPr="0067075A" w14:paraId="5B01DC9C" w14:textId="77777777" w:rsidTr="00665315">
        <w:tc>
          <w:tcPr>
            <w:tcW w:w="2445" w:type="dxa"/>
            <w:shd w:val="clear" w:color="auto" w:fill="auto"/>
          </w:tcPr>
          <w:p w14:paraId="016E7BD5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переходной  зоны</w:t>
            </w:r>
            <w:proofErr w:type="gramEnd"/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 xml:space="preserve"> предстательной железы (мл)#</w:t>
            </w:r>
          </w:p>
        </w:tc>
        <w:tc>
          <w:tcPr>
            <w:tcW w:w="2286" w:type="dxa"/>
            <w:shd w:val="clear" w:color="auto" w:fill="auto"/>
          </w:tcPr>
          <w:p w14:paraId="06915AD2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[Исходный уровень] 48 месяцев (% изменения от исходного уровня)</w:t>
            </w:r>
          </w:p>
        </w:tc>
        <w:tc>
          <w:tcPr>
            <w:tcW w:w="1546" w:type="dxa"/>
            <w:shd w:val="clear" w:color="auto" w:fill="auto"/>
          </w:tcPr>
          <w:p w14:paraId="1155E5DD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 xml:space="preserve">[27.7] </w:t>
            </w:r>
          </w:p>
          <w:p w14:paraId="275FF768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>-17.9</w:t>
            </w:r>
          </w:p>
        </w:tc>
        <w:tc>
          <w:tcPr>
            <w:tcW w:w="1523" w:type="dxa"/>
            <w:shd w:val="clear" w:color="auto" w:fill="auto"/>
          </w:tcPr>
          <w:p w14:paraId="27A31A1E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 xml:space="preserve">[30.3] </w:t>
            </w:r>
          </w:p>
          <w:p w14:paraId="372DCBF0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>-26.5</w:t>
            </w:r>
          </w:p>
        </w:tc>
        <w:tc>
          <w:tcPr>
            <w:tcW w:w="1487" w:type="dxa"/>
            <w:shd w:val="clear" w:color="auto" w:fill="auto"/>
          </w:tcPr>
          <w:p w14:paraId="72F58443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 xml:space="preserve">[30.5] </w:t>
            </w:r>
          </w:p>
          <w:p w14:paraId="4FDFE285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>18.2a</w:t>
            </w:r>
          </w:p>
        </w:tc>
      </w:tr>
      <w:tr w:rsidR="007C1F6D" w:rsidRPr="0067075A" w14:paraId="1795272F" w14:textId="77777777" w:rsidTr="00665315">
        <w:tc>
          <w:tcPr>
            <w:tcW w:w="2445" w:type="dxa"/>
            <w:shd w:val="clear" w:color="auto" w:fill="auto"/>
          </w:tcPr>
          <w:p w14:paraId="717933C5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Индекс влияния ДГПЖ (BII) (баллы)</w:t>
            </w:r>
          </w:p>
        </w:tc>
        <w:tc>
          <w:tcPr>
            <w:tcW w:w="2286" w:type="dxa"/>
            <w:shd w:val="clear" w:color="auto" w:fill="auto"/>
          </w:tcPr>
          <w:p w14:paraId="51C40A5F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[Исходный уровень] 48 месяцев (изменение от исходного уровня)</w:t>
            </w:r>
          </w:p>
        </w:tc>
        <w:tc>
          <w:tcPr>
            <w:tcW w:w="1546" w:type="dxa"/>
            <w:shd w:val="clear" w:color="auto" w:fill="auto"/>
          </w:tcPr>
          <w:p w14:paraId="68CEB773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 xml:space="preserve">[5.3] </w:t>
            </w:r>
          </w:p>
          <w:p w14:paraId="5D60A7EB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>-2.2</w:t>
            </w:r>
          </w:p>
        </w:tc>
        <w:tc>
          <w:tcPr>
            <w:tcW w:w="1523" w:type="dxa"/>
            <w:shd w:val="clear" w:color="auto" w:fill="auto"/>
          </w:tcPr>
          <w:p w14:paraId="6016C6D9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 xml:space="preserve">[5.3] </w:t>
            </w:r>
          </w:p>
          <w:p w14:paraId="64D762EC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>-1.8b</w:t>
            </w:r>
          </w:p>
        </w:tc>
        <w:tc>
          <w:tcPr>
            <w:tcW w:w="1487" w:type="dxa"/>
            <w:shd w:val="clear" w:color="auto" w:fill="auto"/>
          </w:tcPr>
          <w:p w14:paraId="35FAEDBF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 xml:space="preserve">[5.3] </w:t>
            </w:r>
          </w:p>
          <w:p w14:paraId="767F9572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>-1.2a</w:t>
            </w:r>
          </w:p>
        </w:tc>
      </w:tr>
      <w:tr w:rsidR="007C1F6D" w:rsidRPr="0067075A" w14:paraId="05302BB1" w14:textId="77777777" w:rsidTr="00665315">
        <w:tc>
          <w:tcPr>
            <w:tcW w:w="2445" w:type="dxa"/>
            <w:shd w:val="clear" w:color="auto" w:fill="auto"/>
          </w:tcPr>
          <w:p w14:paraId="500CF7C9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IPSS, вопрос 8 (оценка состояния здоровья в связи с ДГПЖ) (баллы)</w:t>
            </w:r>
          </w:p>
        </w:tc>
        <w:tc>
          <w:tcPr>
            <w:tcW w:w="2286" w:type="dxa"/>
            <w:shd w:val="clear" w:color="auto" w:fill="auto"/>
          </w:tcPr>
          <w:p w14:paraId="1C8ABF53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  <w:t>[Исходный уровень] 48 месяцев (изменение от исходного уровня)</w:t>
            </w:r>
          </w:p>
        </w:tc>
        <w:tc>
          <w:tcPr>
            <w:tcW w:w="1546" w:type="dxa"/>
            <w:shd w:val="clear" w:color="auto" w:fill="auto"/>
          </w:tcPr>
          <w:p w14:paraId="11DA9CCF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 xml:space="preserve">[3.6] </w:t>
            </w:r>
          </w:p>
          <w:p w14:paraId="0ABE79E2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>-1.5</w:t>
            </w:r>
          </w:p>
        </w:tc>
        <w:tc>
          <w:tcPr>
            <w:tcW w:w="1523" w:type="dxa"/>
            <w:shd w:val="clear" w:color="auto" w:fill="auto"/>
          </w:tcPr>
          <w:p w14:paraId="48568DEC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 xml:space="preserve">[3.6] </w:t>
            </w:r>
          </w:p>
          <w:p w14:paraId="3B8F60C4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>-1.3b</w:t>
            </w:r>
          </w:p>
        </w:tc>
        <w:tc>
          <w:tcPr>
            <w:tcW w:w="1487" w:type="dxa"/>
            <w:shd w:val="clear" w:color="auto" w:fill="auto"/>
          </w:tcPr>
          <w:p w14:paraId="0680045E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 xml:space="preserve">[3.6] </w:t>
            </w:r>
          </w:p>
          <w:p w14:paraId="7834305C" w14:textId="77777777" w:rsidR="007C1F6D" w:rsidRPr="0067075A" w:rsidRDefault="007C1F6D" w:rsidP="00665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eastAsia="ru-RU"/>
              </w:rPr>
            </w:pPr>
            <w:r w:rsidRPr="0067075A">
              <w:rPr>
                <w:rFonts w:ascii="Times New Roman" w:eastAsia="MS Mincho" w:hAnsi="Times New Roman"/>
                <w:color w:val="000000"/>
                <w:sz w:val="24"/>
                <w:szCs w:val="24"/>
                <w:lang w:val="en-US" w:eastAsia="ru-RU"/>
              </w:rPr>
              <w:t>-1.1a</w:t>
            </w:r>
          </w:p>
        </w:tc>
      </w:tr>
    </w:tbl>
    <w:p w14:paraId="2408D8EE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075A">
        <w:rPr>
          <w:rFonts w:ascii="Times New Roman" w:hAnsi="Times New Roman"/>
          <w:sz w:val="20"/>
          <w:szCs w:val="20"/>
          <w:lang w:eastAsia="ru-RU"/>
        </w:rPr>
        <w:t xml:space="preserve">Исходный уровень представляет собой средние значения, а отклонения от исходного уровня являются откорректированными средними значениями. </w:t>
      </w:r>
    </w:p>
    <w:p w14:paraId="0276DBB6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075A">
        <w:rPr>
          <w:rFonts w:ascii="Times New Roman" w:hAnsi="Times New Roman"/>
          <w:sz w:val="20"/>
          <w:szCs w:val="20"/>
          <w:lang w:eastAsia="ru-RU"/>
        </w:rPr>
        <w:t>* Клиническое прогрессирование является совокупностью следующих показателей: ухудшения по шкале IPSS на ≥4 балла, случаи ОЗМ, связанные с ДГПЖ, недержание мочи, ИМП и почечная недостаточность.</w:t>
      </w:r>
    </w:p>
    <w:p w14:paraId="24D77FE7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075A">
        <w:rPr>
          <w:rFonts w:ascii="Times New Roman" w:hAnsi="Times New Roman"/>
          <w:sz w:val="20"/>
          <w:szCs w:val="20"/>
          <w:lang w:eastAsia="ru-RU"/>
        </w:rPr>
        <w:t xml:space="preserve"># Оценка проведена в отдельных исследовательских центрах (13% рандомизированных пациентов). </w:t>
      </w:r>
    </w:p>
    <w:p w14:paraId="7A528FE4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075A">
        <w:rPr>
          <w:rFonts w:ascii="Times New Roman" w:hAnsi="Times New Roman"/>
          <w:sz w:val="20"/>
          <w:szCs w:val="20"/>
          <w:lang w:eastAsia="ru-RU"/>
        </w:rPr>
        <w:lastRenderedPageBreak/>
        <w:t xml:space="preserve">a. Получены значимые результаты в группе комбинированной терапии (p </w:t>
      </w:r>
      <w:proofErr w:type="gramStart"/>
      <w:r w:rsidRPr="0067075A">
        <w:rPr>
          <w:rFonts w:ascii="Times New Roman" w:hAnsi="Times New Roman"/>
          <w:sz w:val="20"/>
          <w:szCs w:val="20"/>
          <w:lang w:eastAsia="ru-RU"/>
        </w:rPr>
        <w:t>&lt; 0.001</w:t>
      </w:r>
      <w:proofErr w:type="gramEnd"/>
      <w:r w:rsidRPr="0067075A">
        <w:rPr>
          <w:rFonts w:ascii="Times New Roman" w:hAnsi="Times New Roman"/>
          <w:sz w:val="20"/>
          <w:szCs w:val="20"/>
          <w:lang w:eastAsia="ru-RU"/>
        </w:rPr>
        <w:t xml:space="preserve">) по сравнению с группой </w:t>
      </w:r>
      <w:proofErr w:type="spellStart"/>
      <w:r w:rsidRPr="0067075A">
        <w:rPr>
          <w:rFonts w:ascii="Times New Roman" w:hAnsi="Times New Roman"/>
          <w:sz w:val="20"/>
          <w:szCs w:val="20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0"/>
          <w:szCs w:val="20"/>
          <w:lang w:eastAsia="ru-RU"/>
        </w:rPr>
        <w:t xml:space="preserve"> через 48 месяцев.</w:t>
      </w:r>
    </w:p>
    <w:p w14:paraId="4C671FE7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075A">
        <w:rPr>
          <w:rFonts w:ascii="Times New Roman" w:hAnsi="Times New Roman"/>
          <w:sz w:val="20"/>
          <w:szCs w:val="20"/>
          <w:lang w:eastAsia="ru-RU"/>
        </w:rPr>
        <w:t xml:space="preserve">b. Получены значимые результаты в группе комбинированной терапии (p </w:t>
      </w:r>
      <w:proofErr w:type="gramStart"/>
      <w:r w:rsidRPr="0067075A">
        <w:rPr>
          <w:rFonts w:ascii="Times New Roman" w:hAnsi="Times New Roman"/>
          <w:sz w:val="20"/>
          <w:szCs w:val="20"/>
          <w:lang w:eastAsia="ru-RU"/>
        </w:rPr>
        <w:t>&lt; 0.001</w:t>
      </w:r>
      <w:proofErr w:type="gramEnd"/>
      <w:r w:rsidRPr="0067075A">
        <w:rPr>
          <w:rFonts w:ascii="Times New Roman" w:hAnsi="Times New Roman"/>
          <w:sz w:val="20"/>
          <w:szCs w:val="20"/>
          <w:lang w:eastAsia="ru-RU"/>
        </w:rPr>
        <w:t xml:space="preserve">) по сравнению с группой </w:t>
      </w:r>
      <w:proofErr w:type="spellStart"/>
      <w:r w:rsidRPr="0067075A">
        <w:rPr>
          <w:rFonts w:ascii="Times New Roman" w:hAnsi="Times New Roman"/>
          <w:sz w:val="20"/>
          <w:szCs w:val="20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0"/>
          <w:szCs w:val="20"/>
          <w:lang w:eastAsia="ru-RU"/>
        </w:rPr>
        <w:t xml:space="preserve"> через 48 месяцев.</w:t>
      </w:r>
    </w:p>
    <w:p w14:paraId="2B3FC759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/>
          <w:iCs/>
          <w:sz w:val="24"/>
          <w:szCs w:val="24"/>
          <w:lang w:eastAsia="ru-RU"/>
        </w:rPr>
        <w:t>Дутастерид</w:t>
      </w:r>
      <w:proofErr w:type="spellEnd"/>
    </w:p>
    <w:p w14:paraId="48CF606C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Прием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в дозе 0.5 мг/сутки по сравнению с плацебо оценивали в трех 2-годичных многоцентровых, многонациональных, плацебо контролируемых, двойных слепых исследований первичной эффективности с участием 4325 мужчин с умеренными и тяжелыми симптомами ДГПЖ с объемом предстательной железы ≥30 мл и с показателем ПСА в пределах 1.5-10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/мл. Затем исследования продолжили с </w:t>
      </w:r>
      <w:proofErr w:type="gramStart"/>
      <w:r w:rsidRPr="0067075A">
        <w:rPr>
          <w:rFonts w:ascii="Times New Roman" w:hAnsi="Times New Roman"/>
          <w:sz w:val="24"/>
          <w:szCs w:val="24"/>
          <w:lang w:eastAsia="ru-RU"/>
        </w:rPr>
        <w:t>открытым  дополнительным</w:t>
      </w:r>
      <w:proofErr w:type="gram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периодов до 4 лет, при этом все пациенты, оставшиеся в исследовании, продолжали получать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в той же дозе 0.5 мг. Через 4 года, участие в исследовании продолжили 37% пациентов, получавших первоначально плацебо, и 40% пациентов, исходно получавших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>. Большинство (71%) из 2340 пациентов, принявших участие в открытом дополнительном периоде исследовании, сверх этого получали лечение в течение 2 лет.</w:t>
      </w:r>
    </w:p>
    <w:p w14:paraId="56B2E6D3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>Наиболее важными параметрами клинической эффективности были индекс симптомов Американской урологической ассоциации (AUA-SI), максимальная скорость мочеиспускания (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Q</w:t>
      </w:r>
      <w:r w:rsidRPr="0067075A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>), частота случаев острой задержки мочи и хирургических вмешательств в связи с ДГПЖ.</w:t>
      </w:r>
    </w:p>
    <w:p w14:paraId="284E1375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AUA-SI представляет собой опросник, состоящий из семи пунктов для оценки симптомов, связанных с ДГПЖ, с максимальным значением 35 баллов. Исходное среднее значение индекса составило около 17 баллов. После шести месяцев, одного года и двух лет терапии, в группе плацебо среднее улучшение составило 2.5, 2.5 и 2.3 балла, соответственно, а в группе с препаратом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Аводарт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– 3.2, 3.8 и 4.5 балла, соответственно. Различия между двумя группами были статистически значимыми. Улучшение индекса AUA-SI, наблюдаемое в течение первых 2 лет двойной слепой терапии, сохранилось на протяжении еще 2 лет в ходе открытого дополнительного исследования. </w:t>
      </w:r>
    </w:p>
    <w:p w14:paraId="564D2B12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Q</w:t>
      </w:r>
      <w:r w:rsidRPr="0067075A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(максимальная скорость мочеиспускания) </w:t>
      </w:r>
    </w:p>
    <w:p w14:paraId="697A3AE3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Среднее исходное значение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Q</w:t>
      </w:r>
      <w:r w:rsidRPr="0067075A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в исследованиях составило около 10 мл/сек (нормальное значение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Q</w:t>
      </w:r>
      <w:r w:rsidRPr="0067075A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≥15 мл/сек). После одного года и двух лет терапии скорость мочеиспускания в группе плацебо улучшилась на 0.8 и 0.9 мл/сек, соответственно, а в группе с препаратом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Аводарт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– на 1.7 и 2.0 мл/сек, соответственно. Различия между двумя группами имели статистическое значение в период с 1 по 24 месяц. Увеличение максимальной скорости мочеиспускания, наблюдаемое в течение первых 2 лет двойной слепой терапии, сохранилось на протяжении еще 2 лет в ходе открытых дополнительных исследований.</w:t>
      </w:r>
    </w:p>
    <w:p w14:paraId="1131FF25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>Острая задержка мочи и хирургическое вмешательство</w:t>
      </w:r>
    </w:p>
    <w:p w14:paraId="4615D867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После двух лет лечения частота случаев ОЗМ составила 4.2% в группе плацебо по сравнению с 1.8%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(снижение риска на 57%). Данное различие является статистически значимым и означает, что прием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в течение двух лет помогает предотвратить один случай ОЗМ на 42 пациента (95% ДИ 30-73). </w:t>
      </w:r>
    </w:p>
    <w:p w14:paraId="4F1BB677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После двух лет лечения частота хирургических операций в связи с ДГПЖ составила 4.1% в группе плацебо и 2.2%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(снижение риска на 48%). Данное различие является статистически значимым и означает, что прием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в течение двух лет помогает избежать одного хирургического вмешательства на 51 пациента (95% ДИ 33-109). </w:t>
      </w:r>
    </w:p>
    <w:p w14:paraId="7533E545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Распределение волосяного покрова </w:t>
      </w:r>
    </w:p>
    <w:p w14:paraId="62EF7370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В рамках программы исследований Фазы III влияние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на распределение волосяного покрова официально не изучалось, однако, прием ингибиторов 5-альфа-редуктазы может снизить потерю волос и способствовать их росту у пациентов с облысением мужского типа (мужская андрогенная алопеция). </w:t>
      </w:r>
    </w:p>
    <w:p w14:paraId="172C74C5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lastRenderedPageBreak/>
        <w:t>Функция щитовидной железы</w:t>
      </w:r>
    </w:p>
    <w:p w14:paraId="1F885E51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Функцию щитовидной железы оценивали в исследовании с участием здоровых мужчин, продолжительностью один год. В конце одногодичной терапии уровни свободного тироксина не изменились, но по сравнению с плацебо незначительно увеличился (на 0.4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мкМЕ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/мл) уровень тиреотропного гормона (ТТГ). Однако, данные изменения уровня ТТГ были расценены как не имеющие клинической значимости, поскольку уровни ТТГ варьировались, причем медиана диапазона ТТГ (1.4 - 1.9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мкМЕ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/мл) оставалась в пределах нормы (0.5 - 4.0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мкМЕ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/мл), а уровни тироксина были стабильными в пределах нормы и аналогичными в группе с плацебо и в группе с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дутастеридом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. Результаты всех клинических исследований не представили доказательств отрицательного влияния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на функцию щитовидной железы.</w:t>
      </w:r>
    </w:p>
    <w:p w14:paraId="4D971E78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>Новообразования молочной железы</w:t>
      </w:r>
    </w:p>
    <w:p w14:paraId="3978C1A7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В клинических исследованиях продолжительностью 2 года, обеспечивающих 3374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пациенто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-лет воздействия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, и в открытом дополнительном исследовании длившемся на момент регистрации препарата в течении 2 лет, сообщалось о 2 случаях рака молочной железы у мужчин, получавших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, и 1 случае у пациента, получавшего плацебо. В клинических испытаниях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CombAT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REDUCE, длительностью 4 года, обеспечивающих 17489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пациенто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-лет воздействия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5027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пациенто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-лет воздействия комбинации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>, не сообщалось о случаях рака молочной железы ни в одной из групп.</w:t>
      </w:r>
    </w:p>
    <w:p w14:paraId="68A9F843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В двух эпидемиологических исследованиях «случай-контроль», одно из которых проведено в США (n = 339 случаев рака груди и n = 6780 контрольных), а другое – в базе данных здравоохранения Великобритании (n = 398 случаев рака груди и n = 3930 контрольных), не наблюдалось увеличения риска развития рака молочной железы у мужчин при применении ингибиторов 5-альфа-редуктазы (см. раздел 4.4). Результаты первого исследования не выявили положительной связи с развитием рака молочной железы у мужчин (относительный риск для ≥ 1 года применения до постановки диагноза рака молочной железы по сравнению с </w:t>
      </w:r>
      <w:proofErr w:type="gramStart"/>
      <w:r w:rsidRPr="0067075A">
        <w:rPr>
          <w:rFonts w:ascii="Times New Roman" w:hAnsi="Times New Roman"/>
          <w:sz w:val="24"/>
          <w:szCs w:val="24"/>
          <w:lang w:eastAsia="ru-RU"/>
        </w:rPr>
        <w:t>&lt; 1</w:t>
      </w:r>
      <w:proofErr w:type="gram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года применения: 0.70: 95% ДИ 0.34, 1.45). Во втором исследовании оценочное отношение шансов развития рака молочной железы при применении ингибиторов 5-альфа-редуктазы, по сравнению с группой без их применения, составило 1.08: 95% ДИ 0.62, 1.87).</w:t>
      </w:r>
    </w:p>
    <w:p w14:paraId="5BA5FEF3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Причинно-следственная связь между возникновением рака молочной железы у мужчин и длительным применением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не установлена.</w:t>
      </w:r>
    </w:p>
    <w:p w14:paraId="0A329D9A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>Влияние на мужскую фертильность</w:t>
      </w:r>
    </w:p>
    <w:p w14:paraId="52D4D0F2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Влияние приема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в дозе 0.5 мг/сутки на характеристики спермы оценивали в исследовании с участием здоровых добровольцев в возрасте от 18 до 52 лет (n = 27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дустастерида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; n = 23 в группе плацебо), на протяжении 52 недель терапии и 24 недель последующего наблюдения. На 52 неделе средний процент уменьшения от исходного уровня общего количества сперматозоидов, объема и подвижности сперматозоидов составил 23%, 26% и 18%, соответственно,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, с поправкой на изменения по сравнению с исходным уровнем в группе плацебо. Это не повлияло на концентрацию и морфологии сперматозоидов. Через 24 недели последующего наблюдения среднее процентное изменение общего количества сперматозоидов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оставалось на 23% ниже исходного показателя. В то время как средние значения всех параметров для  всех периодов времени оставались в пределах нормы и не соответствовали заранее определенным критериям клинически значимого изменения (30%), у двух пациентов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через 52 недели терапии количество сперматозоидов снизилось более чем на 90% от исходного уровня, но затем частично восстановилось через 24 недели последующего наблюдения. Нельзя исключить возможность снижения мужской фертильности. </w:t>
      </w:r>
    </w:p>
    <w:p w14:paraId="4960B000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>Нежелательные явления со стороны сердечно-сосудистой системы</w:t>
      </w:r>
    </w:p>
    <w:p w14:paraId="1D4CD2E8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4-летнем исследовании ДГПЖ с применением комбинации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с участием 4844 мужчин (исследование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CombAT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), частота случаев, описываемых составным термином «сердечная недостаточность», была выше в группе с приемом комбинации (14/1610, 0.9%), чем в обеих группах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монотерапии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(4/1623, 0.2%) 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(10/1611, 0.6%). </w:t>
      </w:r>
    </w:p>
    <w:p w14:paraId="2743DF21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В отдельном четырехлетнем клиническом исследовании (исследование REDUCE) c участием 8231 пациента в возрасте от 50 до 75 лет, имеющих отрицательный результат биопсии на рак предстательной железы и исходный уровень ПСА в диапазоне от 2.5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 до 10.0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 для мужчин в возрасте от 50 до 60 лет, и в диапазоне от 3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 до 10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 для мужчин в старше 60 лет, частота случаев, описываемых составным термином «сердечная недостаточность», была выше у пациентов принимавших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в дозе 0.5 мг один раз в сутки (30/4105, 0.7%), чем в группе плацебо (16/4126, 0.4%). Ретроспективный анализ данного исследования показал более высокую частоту случаев, описываемых составным термином «сердечная недостаточность», у пациентов, принимавших одновременно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антагонист α1-адренорецепторов (12/1152, 1.0%), чем у пациентов, получавших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без антагониста α1-адренорецепторов (18/2953, 0.6%), плацебо и антагонист α1-адренорецепторов (1/1399, &lt;0.1%) или только плацебо (15/2727, 0.6%).</w:t>
      </w:r>
    </w:p>
    <w:p w14:paraId="71D3CE73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В мета-анализе 12 рандомизированных клинических исследований (n = 18802) с контролем плацебо или препаратом сравнения, в которых оценивали риски развития сердечно-сосудистых нежелательных явлений при применении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(по сравнению с контролем), не установлено последовательного статистически значимого увеличения риска развития сердечной недостаточности (ОР (относительный риск) 1.05; 95 % ДИ 0.71; 1.57), острого инфаркта миокарда (ОР 1.00; 95 % ДИ 0.77; 1.30) или инсульта (ОР 1.20; 95 % ДИ 0.88; 1.64). </w:t>
      </w:r>
    </w:p>
    <w:p w14:paraId="65A40D55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>Рак предстательной железы и опухоли высокой степени злокачественности</w:t>
      </w:r>
    </w:p>
    <w:p w14:paraId="61A063F2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В четырехлетнем исследовании по сравнению плацебо 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(исследование REDUCE) c участием 8231 пациента в возрасте от 50 до 75 лет, имеющих отрицательный результат биопсии на рак предстательной железы и исходный уровень ПСА в диапазоне от 2.5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 до 10.0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 для мужчин в возрасте от 50 до 60 лет, и в диапазоне от 3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 до 10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/мл для мужчин в возрасте старше 60 лет, 6706 пациентов имели результаты пункционной биопсии (первоначально обязательной по протоколу) для определения суммы баллов по шкале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Глисона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. Рак предстательной железы в этом исследовании был диагностирован у 1517 пациентов. Большинство случаев рака предстательной железы, выявляемого путем биопсии, в обеих группах терапии были отнесены к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низкозлокачественным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опухолям (сумма баллов по шкале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Глисона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5-6, 70%). </w:t>
      </w:r>
    </w:p>
    <w:p w14:paraId="61273499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Повышенная частота случаев рака предстательной железы с суммой баллов по шкале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Глисона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8-10 наблюдалась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(n = 29, 0.9%), чем в группе плацебо (n = 19, 0.6%) (p = 0.15). На протяжении первого и второго года терапии, количество пациентов с раком по шкале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Глисона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8-10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(n = 17, 0,5%) и в группе плацебо (n = 18, 0,5%) было одинаковым. На третий и четвертый год большинство случаев рака предстательной железы с суммой баллов по шкале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Глисона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8-10 диагностировано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(n = 12, 0.5%), чем в группе плацебо (n = 1, &lt;0.1%) (p = 0.0035). Отсутствуют данные о влиянии приема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на протяжении более 4 лет у пациентов с риском развития рака предстательной железы. Процент пациентов с диагнозом рак предстательной железы с суммой баллов по шкале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Глисона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8-10 был постоянным на протяжении всех периодов исследования (1-2 годы, 3-4 годы) в группе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(0.5% в каждый период времени), но в группе плацебо процент пациентов с диагнозом рак предстательной железы с суммой баллов по шкале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Глисона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8-10 был ниже на 3-4 год, чем в 1-2 год (&lt;0.1% по сравнению с 0.5%, соответственно) </w:t>
      </w:r>
      <w:r w:rsidRPr="0067075A">
        <w:rPr>
          <w:rFonts w:ascii="Times New Roman" w:hAnsi="Times New Roman"/>
          <w:sz w:val="24"/>
          <w:szCs w:val="24"/>
          <w:lang w:eastAsia="ru-RU"/>
        </w:rPr>
        <w:lastRenderedPageBreak/>
        <w:t xml:space="preserve">(см. раздел 4.4). Отсутствовали отличия по показателю частоты случаев рака с суммой баллов по шкале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Глисона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7-10 (p = 0.81). </w:t>
      </w:r>
    </w:p>
    <w:p w14:paraId="3819AAD3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В дополнительном двухлетнем исследовании последующего наблюдения в рамках исследования REDUCE не установлено новых случаев рака предстательной железы с индексом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Глисона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8-10. </w:t>
      </w:r>
    </w:p>
    <w:p w14:paraId="4BBB20F1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В 4-летнем исследовании ДГПЖ (исследование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CombAT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), в котором протокол не требовал проведение биопсии, а все диагнозы рака предстательной железы основаны на биопсии по показаниям, частота рака с суммой баллов по шкале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Глисона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8-10 установлена в группах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(n=8, 0.5%,),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(n=11, 0.7 %) и комбинированной терапии (n=5, 0.3%). </w:t>
      </w:r>
    </w:p>
    <w:p w14:paraId="64EB918B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>В четырех различных эпидемиологических популяционных исследованиях (два из которых основаны на общей популяции 174895 человека, одно на популяции 13892 человека и одно на популяции 38058 человек) установлено, что применение ингибиторов 5-альфа-редуктазы не связано с возникновением рака предстательной железы высокой степени злокачественности, или рака предстательной железы, или с общей смертностью.</w:t>
      </w:r>
    </w:p>
    <w:p w14:paraId="3C3B7317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Не понятна связь между применением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высокозлокачественным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раком предстательной железы. </w:t>
      </w:r>
    </w:p>
    <w:p w14:paraId="4FBAFAEB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>Влияние на половую функцию</w:t>
      </w:r>
    </w:p>
    <w:p w14:paraId="5338E0BD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Влияние </w:t>
      </w:r>
      <w:r w:rsidR="00743ED0" w:rsidRPr="0067075A">
        <w:rPr>
          <w:rFonts w:ascii="Times New Roman" w:hAnsi="Times New Roman"/>
          <w:sz w:val="24"/>
          <w:szCs w:val="24"/>
          <w:lang w:eastAsia="ru-RU"/>
        </w:rPr>
        <w:t>комбинации</w:t>
      </w:r>
      <w:r w:rsidRPr="0067075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дутастерид+тамсулозин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на половую функцию оценивали в двойном слепом, плацебо-контролируемом исследовании с участием мужчин с ДГПЖ, ведущих половую жизнь, (n = 243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</w:t>
      </w:r>
      <w:r w:rsidR="00743ED0" w:rsidRPr="0067075A">
        <w:rPr>
          <w:rFonts w:ascii="Times New Roman" w:hAnsi="Times New Roman"/>
          <w:sz w:val="24"/>
          <w:szCs w:val="24"/>
          <w:lang w:eastAsia="ru-RU"/>
        </w:rPr>
        <w:t>д</w:t>
      </w:r>
      <w:r w:rsidRPr="0067075A">
        <w:rPr>
          <w:rFonts w:ascii="Times New Roman" w:hAnsi="Times New Roman"/>
          <w:sz w:val="24"/>
          <w:szCs w:val="24"/>
          <w:lang w:eastAsia="ru-RU"/>
        </w:rPr>
        <w:t>+тамсулозин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, n = 246 плацебо). Через 12 месяцев наблюдалось статистически значимое (p </w:t>
      </w:r>
      <w:proofErr w:type="gramStart"/>
      <w:r w:rsidRPr="0067075A">
        <w:rPr>
          <w:rFonts w:ascii="Times New Roman" w:hAnsi="Times New Roman"/>
          <w:sz w:val="24"/>
          <w:szCs w:val="24"/>
          <w:lang w:eastAsia="ru-RU"/>
        </w:rPr>
        <w:t>&lt; 0,001</w:t>
      </w:r>
      <w:proofErr w:type="gram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) более выраженное снижение (ухудшение) балла по Опроснику оценки мужского сексуального здоровья (MSHQ) в группе комбинированной терапии. Снижение в основном было связано с ухудшением оценки эякуляции и общего уровня удовлетворенности, а не в отношении эрекции. Такие последствия не повлияли на восприятие </w:t>
      </w:r>
      <w:r w:rsidR="00743ED0" w:rsidRPr="0067075A">
        <w:rPr>
          <w:rFonts w:ascii="Times New Roman" w:hAnsi="Times New Roman"/>
          <w:sz w:val="24"/>
          <w:szCs w:val="24"/>
          <w:lang w:eastAsia="ru-RU"/>
        </w:rPr>
        <w:t>комбинации</w:t>
      </w:r>
      <w:r w:rsidRPr="0067075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43ED0" w:rsidRPr="0067075A">
        <w:rPr>
          <w:rFonts w:ascii="Times New Roman" w:hAnsi="Times New Roman"/>
          <w:sz w:val="24"/>
          <w:szCs w:val="24"/>
          <w:lang w:eastAsia="ru-RU"/>
        </w:rPr>
        <w:t>дутастерид+тамсулозин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участниками исследования, удовлетворенность которым на протяжении 12 месяцев оценивалась как статистически значимо более высокая по сравнению с плацебо (p </w:t>
      </w:r>
      <w:proofErr w:type="gramStart"/>
      <w:r w:rsidRPr="0067075A">
        <w:rPr>
          <w:rFonts w:ascii="Times New Roman" w:hAnsi="Times New Roman"/>
          <w:sz w:val="24"/>
          <w:szCs w:val="24"/>
          <w:lang w:eastAsia="ru-RU"/>
        </w:rPr>
        <w:t>&lt; 0.05</w:t>
      </w:r>
      <w:proofErr w:type="gramEnd"/>
      <w:r w:rsidRPr="0067075A">
        <w:rPr>
          <w:rFonts w:ascii="Times New Roman" w:hAnsi="Times New Roman"/>
          <w:sz w:val="24"/>
          <w:szCs w:val="24"/>
          <w:lang w:eastAsia="ru-RU"/>
        </w:rPr>
        <w:t>). В этом исследовании нежелательные явления со стороны половой функции возникали в течение 12 месяцев терапии и, примерно, в половине случаев прошли в течение 6 месяцев после окончания терапии.</w:t>
      </w:r>
    </w:p>
    <w:p w14:paraId="4812848E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Известно, что комбинация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>–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монотерапия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вызывают нежелательные явления со стороны половой функции (см. раздел 4.8).</w:t>
      </w:r>
    </w:p>
    <w:p w14:paraId="097429E2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Как отмечалось в других клинических исследованиях, включая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CombAT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и REDUCE, при продолжении терапии частота развития нежелательных явлений со стороны половой функции со временем уменьшается.</w:t>
      </w:r>
    </w:p>
    <w:p w14:paraId="487784F7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/>
          <w:iCs/>
          <w:sz w:val="24"/>
          <w:szCs w:val="24"/>
          <w:lang w:eastAsia="ru-RU"/>
        </w:rPr>
        <w:t>Тамсулозин</w:t>
      </w:r>
      <w:proofErr w:type="spellEnd"/>
    </w:p>
    <w:p w14:paraId="2C34C49C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увеличивает максимальную скорость мочеиспускания. Облегчает обструкцию путем снижения тонуса гладкой мускулатуры предстательной железы и уретры, тем самым улучшая симптомы опорожнения. Он также улучшает симптомы наполнения, для которых важную роль играет нестабильность мочевого пузыря. Такое действие в отношении симптомов опорожнения и наполнения сохраняется при длительной терапии. В результате на значительное время откладывается необходимость хирургического вмешательства или катетеризации.</w:t>
      </w:r>
    </w:p>
    <w:p w14:paraId="7F675615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075A">
        <w:rPr>
          <w:rFonts w:ascii="Times New Roman" w:hAnsi="Times New Roman"/>
          <w:sz w:val="24"/>
          <w:szCs w:val="24"/>
          <w:lang w:eastAsia="ru-RU"/>
        </w:rPr>
        <w:t xml:space="preserve">Антагонисты Α1-адренорецепторов способны снижать артериальное давление за счет снижения общего периферического сопротивления сосудов. В ходе исследований </w:t>
      </w:r>
      <w:proofErr w:type="spellStart"/>
      <w:r w:rsidRPr="0067075A">
        <w:rPr>
          <w:rFonts w:ascii="Times New Roman" w:hAnsi="Times New Roman"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sz w:val="24"/>
          <w:szCs w:val="24"/>
          <w:lang w:eastAsia="ru-RU"/>
        </w:rPr>
        <w:t xml:space="preserve"> не наблюдалось клинически значимого снижения артериального давления.</w:t>
      </w:r>
    </w:p>
    <w:p w14:paraId="3A5E536C" w14:textId="77777777" w:rsidR="00743ED0" w:rsidRPr="0067075A" w:rsidRDefault="00743ED0" w:rsidP="007C1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FB3305F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7075A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28539A0F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Доказана биоэквивалентность комбинации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дутастерида-тамсулозина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и одновременного приема отдельных капсул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. </w:t>
      </w:r>
    </w:p>
    <w:p w14:paraId="2A49FA5B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67075A">
        <w:rPr>
          <w:rFonts w:ascii="Times New Roman" w:hAnsi="Times New Roman"/>
          <w:iCs/>
          <w:sz w:val="24"/>
          <w:szCs w:val="24"/>
          <w:lang w:bidi="ru-RU"/>
        </w:rPr>
        <w:lastRenderedPageBreak/>
        <w:t xml:space="preserve">Исследование биоэквивалентности однократных доз проводили как натощак, так и после приема пищи. Наблюдалось снижение на 30%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С</w:t>
      </w:r>
      <w:r w:rsidRPr="0067075A">
        <w:rPr>
          <w:rFonts w:ascii="Times New Roman" w:hAnsi="Times New Roman"/>
          <w:iCs/>
          <w:sz w:val="24"/>
          <w:szCs w:val="24"/>
          <w:vertAlign w:val="subscript"/>
          <w:lang w:bidi="ru-RU"/>
        </w:rPr>
        <w:t>max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в составе комбинации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дутастерида-тамсулозина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, которую применяли после приема пищи, по сравнению с применением натощак. Прием пищи не оказывал влияния на AUC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>.</w:t>
      </w:r>
    </w:p>
    <w:p w14:paraId="731644C8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67075A">
        <w:rPr>
          <w:rFonts w:ascii="Times New Roman" w:hAnsi="Times New Roman"/>
          <w:i/>
          <w:sz w:val="24"/>
          <w:szCs w:val="24"/>
          <w:lang w:bidi="ru-RU"/>
        </w:rPr>
        <w:t>Абсорбция</w:t>
      </w:r>
    </w:p>
    <w:p w14:paraId="385990B0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14:paraId="5F10764B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После приема внутрь однократной дозы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0.5 мг максимальная концентрация препарата в сыворотке достигается в течение 1-3 ч. Абсолютная биодоступность составляет около 60%. Биодоступность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не зависит от приема пищи. </w:t>
      </w:r>
    </w:p>
    <w:p w14:paraId="15970A98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</w:t>
      </w:r>
      <w:proofErr w:type="spellEnd"/>
    </w:p>
    <w:p w14:paraId="5E7E198C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всасывается в кишечнике и почти полностью поступает в кровь. Скорость и степень всасывания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снижается при приеме препарата в течение 30 минут после еды. Равномерному всасыванию способствует прием </w:t>
      </w:r>
      <w:r w:rsidR="00743ED0"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комбинации </w:t>
      </w:r>
      <w:proofErr w:type="spellStart"/>
      <w:r w:rsidR="00743ED0"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дутастерид-тамсулозин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после одного и того же приема пищи. Концентрация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в плазме пропорциональна дозе. </w:t>
      </w:r>
    </w:p>
    <w:p w14:paraId="26A6EFC5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При однократном приеме дозы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после еды пиковые концентрации в плазме крови достигаются приблизительно через 6 часов, а равновесная концентрация достигается на 5 день приема многократных доз, при этом средняя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Pr="0067075A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приблизительно на две трети выше концентрации, достигаемой после приема однократной дозы. Хотя данное явление наблюдалось у пожилых пациентов, аналогичных результатов следует ожидать и у более молодых пациентов.</w:t>
      </w:r>
    </w:p>
    <w:p w14:paraId="6D491F39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67075A">
        <w:rPr>
          <w:rFonts w:ascii="Times New Roman" w:hAnsi="Times New Roman"/>
          <w:i/>
          <w:sz w:val="24"/>
          <w:szCs w:val="24"/>
          <w:lang w:bidi="ru-RU"/>
        </w:rPr>
        <w:t>Распределение</w:t>
      </w:r>
    </w:p>
    <w:p w14:paraId="293FB290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14:paraId="0BB204AC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обладает большим объемом распределения (от 300 до 500 л) и высокой степенью связывания с белками плазмы (&gt; 99.5 %). При ежедневном приеме концентрация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в сыворотке достигает 65% концентрации в равновесном состоянии через 1 месяц и около 90% спустя 3 месяца. </w:t>
      </w:r>
    </w:p>
    <w:p w14:paraId="476A0377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Равновесные концентрации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в сыворотке (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Css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), составляющие около </w:t>
      </w:r>
      <w:r w:rsidR="00743ED0"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        </w:t>
      </w: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40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/мл, достигаются через 6 месяцев приема в дозе 0.5 мг один раз в сутки. Из сыворотки в сперму попадает в среднем 11.5 %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4913C2EC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</w:t>
      </w:r>
      <w:proofErr w:type="spellEnd"/>
    </w:p>
    <w:p w14:paraId="1629B7A5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У человека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>, приблизительно, на 99% связывается с белками плазмы. Объем распределения небольшой (около 0.2 л/кг).</w:t>
      </w:r>
    </w:p>
    <w:p w14:paraId="5976FB99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proofErr w:type="spellStart"/>
      <w:r w:rsidRPr="0067075A">
        <w:rPr>
          <w:rFonts w:ascii="Times New Roman" w:hAnsi="Times New Roman"/>
          <w:i/>
          <w:sz w:val="24"/>
          <w:szCs w:val="24"/>
          <w:lang w:bidi="ru-RU"/>
        </w:rPr>
        <w:t>Биотрансформация</w:t>
      </w:r>
      <w:proofErr w:type="spellEnd"/>
    </w:p>
    <w:p w14:paraId="449F0170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14:paraId="2306EBE6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активно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метаболизируется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in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vivo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In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vitro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метаболизируется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цитохромом Р450 3A4 и 3А5 до трех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моногидроксилированных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метаболитов и одного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дигидроксилированного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метаболита. </w:t>
      </w:r>
    </w:p>
    <w:p w14:paraId="5B949199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После приема внутрь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в дозе 0.5 мг/сутки до достижения равновесных концентраций, от 1.0% до 15.4% (в среднем 5.4%) полученной дозы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gram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выводятся  с</w:t>
      </w:r>
      <w:proofErr w:type="gram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калом в неизмененном виде. Остальная часть выводится с калом в виде четырех основных метаболитов, состоящих из 39%, 21%, 7% и 7% каждого родственного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дутастериду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вещества, и 6 вторичных метаболитов (менее 5% каждого). В моче человека обнаруживаются только следовые количества неизмененного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(менее 0.1% дозы). </w:t>
      </w:r>
    </w:p>
    <w:p w14:paraId="6DA27984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14:paraId="0D1C9C1E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Отсутствует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энантиомерная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биоконверсия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[R(</w:t>
      </w:r>
      <w:proofErr w:type="gram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-)изомер</w:t>
      </w:r>
      <w:proofErr w:type="gram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] в S(+) изомер у человека.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гидрохлорид интенсивно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метаболизируется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в печени ферментами системы цитохрома Р450, менее 10% дозы выводится почками в неизмененном виде. Однако фармакокинетический профиль метаболитов у человека не </w:t>
      </w:r>
      <w:r w:rsidRPr="0067075A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установлен. Результаты исследований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in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vitro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показывают, что в метаболизме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участвуют CYP3A4 и СYP2D6, а также незначительное участие принимают другие изоферменты CYP. Ингибирование ферментов печени, участвующих в метаболизме лекарственных средств может привести к повышению концентрации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(см. разделы 4.4 и 4.5). Метаболиты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гидрохлорида подвергаются обширной конъюгации с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глюкуронидами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или сульфатами перед выведением почками.</w:t>
      </w:r>
    </w:p>
    <w:p w14:paraId="1D9DD263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67075A">
        <w:rPr>
          <w:rFonts w:ascii="Times New Roman" w:hAnsi="Times New Roman"/>
          <w:i/>
          <w:sz w:val="24"/>
          <w:szCs w:val="24"/>
          <w:lang w:bidi="ru-RU"/>
        </w:rPr>
        <w:t>Элиминация</w:t>
      </w:r>
    </w:p>
    <w:p w14:paraId="4A9CEF3D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14:paraId="0192D7BF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Выведение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зависит от дозы и может быть представлено двумя параллельными путями выведения, один из которых является насыщаемым при клинически значимых концентрациях, а другой –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ненасыщаемый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. При низких концентрациях в сыворотке (менее 3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нг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/мл)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быстро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экскретируется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путями выведения как зависимым от концентрации, так и независимыми. При однократном приеме доз 5 мг и менее происходит быстрое выведения из организма, а короткий период полувыведения составляет от 3 до 9 дней.</w:t>
      </w:r>
    </w:p>
    <w:p w14:paraId="796B7308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При терапевтических концентрациях, после многократного приема препарата в </w:t>
      </w:r>
      <w:proofErr w:type="gramStart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дозе </w:t>
      </w:r>
      <w:r w:rsidR="00743ED0"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7075A">
        <w:rPr>
          <w:rFonts w:ascii="Times New Roman" w:hAnsi="Times New Roman"/>
          <w:iCs/>
          <w:sz w:val="24"/>
          <w:szCs w:val="24"/>
          <w:lang w:eastAsia="ru-RU"/>
        </w:rPr>
        <w:t>0.5</w:t>
      </w:r>
      <w:proofErr w:type="gram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мг/сутки, преобладает более медленное, линейное выведение, а период полувыведения составляет около 3-5 недель.</w:t>
      </w:r>
    </w:p>
    <w:p w14:paraId="2A28E009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</w:t>
      </w:r>
      <w:proofErr w:type="spellEnd"/>
    </w:p>
    <w:p w14:paraId="7D278E76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и его метаболиты преимущественно выводятся с мочой, при этом около 9% принятой дозы выводится в неизмененном виде.</w:t>
      </w:r>
    </w:p>
    <w:p w14:paraId="719132DC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После внутривенного приема или приема внутрь препарата с немедленным высвобождением период полувыведения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из плазмы составляет от 5 до </w:t>
      </w:r>
      <w:r w:rsidR="00743ED0"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     </w:t>
      </w: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7 часов. За счет контролируемой скорости всасывания капсул с модифицированным высвобождением, кажущийся период полувыведения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после приема пищи составляет около 10 часов, а в равновесной концентрации – около 13 часов.</w:t>
      </w:r>
    </w:p>
    <w:p w14:paraId="6A5914A3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67075A">
        <w:rPr>
          <w:rFonts w:ascii="Times New Roman" w:hAnsi="Times New Roman"/>
          <w:i/>
          <w:sz w:val="24"/>
          <w:szCs w:val="24"/>
          <w:lang w:bidi="ru-RU"/>
        </w:rPr>
        <w:t xml:space="preserve">Пациенты пожилого возраста </w:t>
      </w:r>
    </w:p>
    <w:p w14:paraId="76798EA6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</w:p>
    <w:p w14:paraId="3062638D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Фармакокинетику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оценивали у 36 здоровых мужчин в возрасте от 24 до 87 лет после приема одной дозы (5 мг)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. Не наблюдалось значительного влияния возраста на воздействие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, однако период полувыведения у мужчин в возрасте до 50 лет был короче. При сравнении периода полувыведения у пациентов в возрасте от 50 до 69 лет и у пациентов в возрасте старше 70 лет не установлены статистически значимые отличия. </w:t>
      </w:r>
    </w:p>
    <w:p w14:paraId="4991EBC4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</w:p>
    <w:p w14:paraId="7E0EAC58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Перекрестное сравнение общего воздействия (AUC) и периода полувыведения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гидрохлорида показывает, что фармакокинетика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может быть незначительно увеличена у пожилых мужчин, по сравнению с молодыми здоровыми добровольцами. Собственный клиренс не зависит от связывания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гидрохлорида с альфа-1-кислым гликопротеином, но с возрастом снижается, что приводит к увеличению общего воздействия (AUC) на 40% у пациентов в возрасте от 55 до 75 лет, по сравнению с пациентами в возрасте от 20 до 32 лет. </w:t>
      </w:r>
    </w:p>
    <w:p w14:paraId="13F6ACA0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67075A">
        <w:rPr>
          <w:rFonts w:ascii="Times New Roman" w:hAnsi="Times New Roman"/>
          <w:i/>
          <w:sz w:val="24"/>
          <w:szCs w:val="24"/>
          <w:lang w:bidi="ru-RU"/>
        </w:rPr>
        <w:t>Пациенты с нарушением функции почек</w:t>
      </w:r>
    </w:p>
    <w:p w14:paraId="794924F4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</w:p>
    <w:p w14:paraId="061B92A4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Влияние почечной недостаточности на фармакокинетику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не изучалось. Однако, поскольку менее 0.1% от дозы 0.5 мг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в равновесном состоянии выделяется с мочой, клинически значимое повышения концентрации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в плазме крови не ожидается (см. раздел 4.2). </w:t>
      </w:r>
    </w:p>
    <w:p w14:paraId="6AD54391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</w:t>
      </w:r>
      <w:proofErr w:type="spellEnd"/>
    </w:p>
    <w:p w14:paraId="128DEF0A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Фармакокинетику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гидрохлорида сравнивали у 6 пациентов с почечной недостаточностью от легкой до средней (30 ≤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CLcr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&lt; 70 мл/мин / 1.73 м2) или от </w:t>
      </w:r>
      <w:r w:rsidRPr="0067075A">
        <w:rPr>
          <w:rFonts w:ascii="Times New Roman" w:hAnsi="Times New Roman"/>
          <w:iCs/>
          <w:sz w:val="24"/>
          <w:szCs w:val="24"/>
          <w:lang w:bidi="ru-RU"/>
        </w:rPr>
        <w:lastRenderedPageBreak/>
        <w:t xml:space="preserve">умеренной до тяжелой (10 ≤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CLcr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&lt; 30 мл/мин / 1.73 м2) степени и у 6 пациентов, не имеющих почечной недостаточности (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CLcr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&gt; 90 мл/мин / 1.73 м2). Несмотря на изменение общей концентрации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в плазме в результате изменения связывания с альфа-1-кислым гликопротеином, концентрация несвязанного (активного)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гидрохлорида, а также собственный клиренс, оставались относительно стабильными. Таким образом, пациентам с почечной недостаточностью не требуется коррекция дозы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гидрохлорида в капсулах. Однако, пациенты с терминальной стадией почечной недостаточности (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CLcr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proofErr w:type="gramStart"/>
      <w:r w:rsidRPr="0067075A">
        <w:rPr>
          <w:rFonts w:ascii="Times New Roman" w:hAnsi="Times New Roman"/>
          <w:iCs/>
          <w:sz w:val="24"/>
          <w:szCs w:val="24"/>
          <w:lang w:bidi="ru-RU"/>
        </w:rPr>
        <w:t>&lt; 10</w:t>
      </w:r>
      <w:proofErr w:type="gram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мл/мин/ 1.73 м2) не изучались.</w:t>
      </w:r>
    </w:p>
    <w:p w14:paraId="6A1812B2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67075A">
        <w:rPr>
          <w:rFonts w:ascii="Times New Roman" w:hAnsi="Times New Roman"/>
          <w:i/>
          <w:sz w:val="24"/>
          <w:szCs w:val="24"/>
          <w:lang w:bidi="ru-RU"/>
        </w:rPr>
        <w:t xml:space="preserve">Пациенты с нарушением функции печени </w:t>
      </w:r>
    </w:p>
    <w:p w14:paraId="38921C1E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</w:p>
    <w:p w14:paraId="584D827D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Влияние печеночной недостаточности на фармакокинетику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не изучалось (см. раздел 4.3). Поскольку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преимущественно выводится за счет метаболизма, предполагают, что у пациентов с печеночной недостаточностью концентрация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в плазме будет повышена, а период полувыведения будет увеличен (см. разделы 4.2 и 4.4). </w:t>
      </w:r>
    </w:p>
    <w:p w14:paraId="3093DC37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</w:p>
    <w:p w14:paraId="3373E58D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Фармакокинетику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гидрохлорида сравнивали у 8 пациентов с умеренными нарушениями функции печени (Класс А и В по шкале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Чайлд-Пью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) и у 8 лиц с нормальной функцией печени. Несмотря на изменение общей концентрации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в плазме в результате изменения связывания с альфа-1-кислым гликопротеином, концентрация несвязанного (активного)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, значительно не менялась, имело место только умеренное (32%) изменение собственного клиренса несвязанного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гидрохлорида. Таким образом, пациентам с умеренным нарушением функции печени не требуется коррекция дозы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гидрохлорида.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bidi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bidi="ru-RU"/>
        </w:rPr>
        <w:t xml:space="preserve"> гидрохлорид не изучался у пациентов с тяжелыми нарушениями функции печени.</w:t>
      </w:r>
    </w:p>
    <w:p w14:paraId="003A1536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F4C7AEE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7075A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>Данные доклинической безопасности</w:t>
      </w:r>
    </w:p>
    <w:p w14:paraId="4414CCC9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Доклинические исследования </w:t>
      </w:r>
      <w:r w:rsidR="00743ED0"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комбинации </w:t>
      </w:r>
      <w:proofErr w:type="spellStart"/>
      <w:r w:rsidR="00743ED0"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дутастерид-тамсулозин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не проводились. В испытаниях на животных проводили обширное изучение токсичности отдельно для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и отдельно для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гидрохлорида, результаты соответствовали известным фармакологическим действиям ингибиторов 5-альфа-редуктазы и антагонистов альфа1-адренорецепторов. Представленные ниже данные отражают информацию по отдельным компонентам, а не комбинации.</w:t>
      </w:r>
    </w:p>
    <w:p w14:paraId="6D011874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/>
          <w:sz w:val="24"/>
          <w:szCs w:val="24"/>
          <w:lang w:eastAsia="ru-RU"/>
        </w:rPr>
        <w:t>Дутастерид</w:t>
      </w:r>
      <w:proofErr w:type="spellEnd"/>
    </w:p>
    <w:p w14:paraId="5E140762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В современных исследованиях общей токсичности,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генотоксичности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и канцерогенности не установлено наличия какого-либо особого риска для человека.</w:t>
      </w:r>
    </w:p>
    <w:p w14:paraId="416C3483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Исследования токсического действия на репродуктивную функцию самцов крыс показали снижение массы предстательной железы и семенных пузырьков, уменьшение секреции придаточных половых желез и снижение показателей фертильности (вследствие фармакологического действия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>). Клиническая значимость этих результатов неизвестна.</w:t>
      </w:r>
    </w:p>
    <w:p w14:paraId="6F274D5E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Как и в случае других ингибиторов 5-альфа-редуктазы, при введении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во время беременности крысам и кроликам наблюдалась феминизация плодов мужского пола.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был обнаружен в крови самок крыс после спаривания с самцами, получавшими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. При введении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приматам во время беременности, не наблюдалось феминизации плодов мужского пола при воздействии через кровь, значительно превышающем концентрации способные проникнуть через сперму человека. Маловероятно, что плод мужского пола пострадает от проникновения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дутастерида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через сперму.</w:t>
      </w:r>
    </w:p>
    <w:p w14:paraId="51D00FCD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spellStart"/>
      <w:r w:rsidRPr="0067075A">
        <w:rPr>
          <w:rFonts w:ascii="Times New Roman" w:hAnsi="Times New Roman"/>
          <w:i/>
          <w:sz w:val="24"/>
          <w:szCs w:val="24"/>
          <w:lang w:eastAsia="ru-RU"/>
        </w:rPr>
        <w:t>Тамсулозин</w:t>
      </w:r>
      <w:proofErr w:type="spellEnd"/>
    </w:p>
    <w:p w14:paraId="35FB00AB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Исследования общей токсичности 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генотоксичности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не показали какого-либо особого риска для человека, кроме тех, которые вызваны фармакологическими свойствами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795567C0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В исследованиях канцерогенности на крысах и мышах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гидрохлорид приводил к увеличению случаев пролиферативных изменений тканей молочных желез у самок. Такие результаты, вероятно, обусловленные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гиперпролактинемией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и возникающие только при приеме высоких доз, считаются клинически не значимыми.</w:t>
      </w:r>
    </w:p>
    <w:p w14:paraId="5C7A2377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Высокие дозы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гидрохлорида привели к обратимому снижению фертильности у самцов крыс, что, возможно, связано с изменением содержания спермы или нарушением эякуляции. Влияние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на количество или функцию сперматозоидов не оценивалось.</w:t>
      </w:r>
    </w:p>
    <w:p w14:paraId="54AF69AA" w14:textId="77777777" w:rsidR="007C1F6D" w:rsidRPr="0067075A" w:rsidRDefault="007C1F6D" w:rsidP="007C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gram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При введение</w:t>
      </w:r>
      <w:proofErr w:type="gram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hAnsi="Times New Roman"/>
          <w:iCs/>
          <w:sz w:val="24"/>
          <w:szCs w:val="24"/>
          <w:lang w:eastAsia="ru-RU"/>
        </w:rPr>
        <w:t>тамсулозина</w:t>
      </w:r>
      <w:proofErr w:type="spellEnd"/>
      <w:r w:rsidRPr="0067075A">
        <w:rPr>
          <w:rFonts w:ascii="Times New Roman" w:hAnsi="Times New Roman"/>
          <w:iCs/>
          <w:sz w:val="24"/>
          <w:szCs w:val="24"/>
          <w:lang w:eastAsia="ru-RU"/>
        </w:rPr>
        <w:t xml:space="preserve"> гидрохлорида беременным самкам крыс и кроликов в дозе, превышающей терапевтическую, не установлено признаков вредного воздействия на плод.</w:t>
      </w:r>
    </w:p>
    <w:p w14:paraId="68758C00" w14:textId="77777777" w:rsidR="00135234" w:rsidRPr="0067075A" w:rsidRDefault="00135234" w:rsidP="0013523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88D5C3" w14:textId="77777777" w:rsidR="00DF3381" w:rsidRPr="0067075A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7075A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1C7D53B0" w14:textId="77777777" w:rsidR="005921EA" w:rsidRPr="0067075A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7075A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0F00431C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Глицер</w:t>
      </w:r>
      <w:r w:rsidR="0092696F" w:rsidRPr="0067075A">
        <w:rPr>
          <w:rFonts w:ascii="Times New Roman" w:eastAsia="TimesNewRomanPSMT" w:hAnsi="Times New Roman"/>
          <w:sz w:val="24"/>
          <w:szCs w:val="24"/>
          <w:lang w:eastAsia="ru-RU"/>
        </w:rPr>
        <w:t>ин</w:t>
      </w: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монокаприлокапрат</w:t>
      </w:r>
      <w:proofErr w:type="spellEnd"/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, тип I</w:t>
      </w:r>
    </w:p>
    <w:p w14:paraId="181B42AF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Бутилгидрокситолуол</w:t>
      </w:r>
      <w:proofErr w:type="spellEnd"/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 xml:space="preserve"> (Е 321)</w:t>
      </w:r>
    </w:p>
    <w:p w14:paraId="68D9E390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Желатин, 160 блюм</w:t>
      </w:r>
    </w:p>
    <w:p w14:paraId="09FC0569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Глицер</w:t>
      </w:r>
      <w:r w:rsidR="002030AD" w:rsidRPr="0067075A">
        <w:rPr>
          <w:rFonts w:ascii="Times New Roman" w:eastAsia="TimesNewRomanPSMT" w:hAnsi="Times New Roman"/>
          <w:sz w:val="24"/>
          <w:szCs w:val="24"/>
          <w:lang w:eastAsia="ru-RU"/>
        </w:rPr>
        <w:t>ин</w:t>
      </w:r>
    </w:p>
    <w:p w14:paraId="24685321" w14:textId="77777777" w:rsidR="0092696F" w:rsidRPr="0067075A" w:rsidRDefault="0092696F" w:rsidP="0092696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Титана диоксид (Е 171)</w:t>
      </w:r>
    </w:p>
    <w:p w14:paraId="5149E57D" w14:textId="77777777" w:rsidR="0092696F" w:rsidRPr="0067075A" w:rsidRDefault="0092696F" w:rsidP="0092696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Железа оксид желтый (Е 172)</w:t>
      </w:r>
    </w:p>
    <w:p w14:paraId="1AF5D7B6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 xml:space="preserve">30 % смесь метакриловой кислоты и сополимера </w:t>
      </w:r>
      <w:proofErr w:type="spellStart"/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этилакрилата</w:t>
      </w:r>
      <w:proofErr w:type="spellEnd"/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 xml:space="preserve"> (1:1)</w:t>
      </w:r>
    </w:p>
    <w:p w14:paraId="646118C9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Целлюлоза микрокристаллическая (чистоты 101)</w:t>
      </w:r>
    </w:p>
    <w:p w14:paraId="7C00D5A5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 xml:space="preserve">Тальк  </w:t>
      </w:r>
    </w:p>
    <w:p w14:paraId="47111A18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Триацетин</w:t>
      </w:r>
      <w:proofErr w:type="spellEnd"/>
    </w:p>
    <w:p w14:paraId="7622EDFF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 xml:space="preserve">Кальция </w:t>
      </w:r>
      <w:proofErr w:type="spellStart"/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стеарат</w:t>
      </w:r>
      <w:proofErr w:type="spellEnd"/>
    </w:p>
    <w:p w14:paraId="35114354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Гипромеллоза</w:t>
      </w:r>
      <w:proofErr w:type="spellEnd"/>
    </w:p>
    <w:p w14:paraId="7250B25F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Каррагинан</w:t>
      </w:r>
      <w:proofErr w:type="spellEnd"/>
    </w:p>
    <w:p w14:paraId="1CD7E3F2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Калия хлорид</w:t>
      </w:r>
    </w:p>
    <w:p w14:paraId="21507117" w14:textId="77777777" w:rsidR="00D26475" w:rsidRPr="0067075A" w:rsidRDefault="00D26475" w:rsidP="00D2647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Титана диоксид (Е 171)</w:t>
      </w:r>
    </w:p>
    <w:p w14:paraId="260F3F59" w14:textId="77777777" w:rsidR="00D26475" w:rsidRPr="0067075A" w:rsidRDefault="00D26475" w:rsidP="00D2647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Солнечный закат желтый (FCF) (FD&amp;C желтый №6) (Е 110)</w:t>
      </w:r>
    </w:p>
    <w:p w14:paraId="31FDF174" w14:textId="77777777" w:rsidR="00D26475" w:rsidRPr="0067075A" w:rsidRDefault="00D26475" w:rsidP="00D2647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Железа оксид красный (Е 172)</w:t>
      </w:r>
    </w:p>
    <w:p w14:paraId="7624CADA" w14:textId="77777777" w:rsidR="00D26475" w:rsidRPr="0067075A" w:rsidRDefault="00D26475" w:rsidP="00D2647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Железа оксид черный (Е 172)</w:t>
      </w:r>
    </w:p>
    <w:p w14:paraId="7C86F39E" w14:textId="77777777" w:rsidR="00605194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Шеллак (Е 904)</w:t>
      </w:r>
    </w:p>
    <w:p w14:paraId="603D004A" w14:textId="77777777" w:rsidR="007D3AA5" w:rsidRPr="0067075A" w:rsidRDefault="00605194" w:rsidP="0060519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Калия гидроксид</w:t>
      </w:r>
    </w:p>
    <w:p w14:paraId="1F40F585" w14:textId="77777777" w:rsidR="00DF3381" w:rsidRPr="0067075A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7075A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1A17B29B" w14:textId="77777777" w:rsidR="000F55E6" w:rsidRPr="0067075A" w:rsidRDefault="000F55E6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14:paraId="1A2B9C22" w14:textId="77777777" w:rsidR="009128A3" w:rsidRPr="0067075A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67075A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67075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7075A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16118431" w14:textId="77777777" w:rsidR="00CE03ED" w:rsidRPr="0067075A" w:rsidRDefault="001D2064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bookmarkStart w:id="23" w:name="_Hlk50390832"/>
      <w:r w:rsidRPr="0067075A">
        <w:rPr>
          <w:rFonts w:ascii="Times New Roman" w:hAnsi="Times New Roman"/>
          <w:sz w:val="24"/>
          <w:szCs w:val="24"/>
          <w:lang w:bidi="ru-RU"/>
        </w:rPr>
        <w:t>2 года</w:t>
      </w:r>
    </w:p>
    <w:bookmarkEnd w:id="23"/>
    <w:p w14:paraId="39091C59" w14:textId="77777777" w:rsidR="00CE03ED" w:rsidRPr="0067075A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2D91664A" w14:textId="77777777" w:rsidR="00632571" w:rsidRPr="0067075A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67075A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67075A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2AAB4D3C" w14:textId="77777777" w:rsidR="00E34BBF" w:rsidRDefault="00E34BBF" w:rsidP="0078568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34BBF">
        <w:rPr>
          <w:rFonts w:ascii="Times New Roman" w:hAnsi="Times New Roman"/>
          <w:sz w:val="24"/>
        </w:rPr>
        <w:t>Хранить при температуре не выше 25 °С.</w:t>
      </w:r>
    </w:p>
    <w:p w14:paraId="35F83EA9" w14:textId="04C59329" w:rsidR="00632571" w:rsidRPr="0067075A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24" w:name="2175220289"/>
    </w:p>
    <w:bookmarkEnd w:id="24"/>
    <w:p w14:paraId="0F88B3D6" w14:textId="77777777" w:rsidR="00B90A1E" w:rsidRPr="0067075A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7075A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6707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0A67D570" w14:textId="77777777" w:rsidR="002D57FA" w:rsidRPr="0067075A" w:rsidRDefault="002D57FA" w:rsidP="002D5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5" w:name="_Hlk68169206"/>
      <w:r w:rsidRPr="0067075A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bookmarkStart w:id="26" w:name="_Hlk69984185"/>
      <w:r w:rsidRPr="0067075A">
        <w:rPr>
          <w:rFonts w:ascii="Times New Roman" w:hAnsi="Times New Roman"/>
          <w:color w:val="000000"/>
          <w:sz w:val="24"/>
          <w:szCs w:val="24"/>
          <w:lang w:eastAsia="ru-RU"/>
        </w:rPr>
        <w:t>о 10 капсул помещают в контурную ячейковую упаковку из пленки ПВХ/ПВДХ (поливинилхлорид/</w:t>
      </w:r>
      <w:proofErr w:type="spellStart"/>
      <w:r w:rsidRPr="0067075A">
        <w:rPr>
          <w:rFonts w:ascii="Times New Roman" w:hAnsi="Times New Roman"/>
          <w:color w:val="000000"/>
          <w:sz w:val="24"/>
          <w:szCs w:val="24"/>
          <w:lang w:eastAsia="ru-RU"/>
        </w:rPr>
        <w:t>поливинил</w:t>
      </w:r>
      <w:r w:rsidR="005448A0" w:rsidRPr="0067075A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67075A">
        <w:rPr>
          <w:rFonts w:ascii="Times New Roman" w:hAnsi="Times New Roman"/>
          <w:color w:val="000000"/>
          <w:sz w:val="24"/>
          <w:szCs w:val="24"/>
          <w:lang w:eastAsia="ru-RU"/>
        </w:rPr>
        <w:t>денхлоридной</w:t>
      </w:r>
      <w:proofErr w:type="spellEnd"/>
      <w:r w:rsidRPr="006707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и фольги алюминиевой. </w:t>
      </w:r>
    </w:p>
    <w:p w14:paraId="4C73E21C" w14:textId="77777777" w:rsidR="00775F6E" w:rsidRPr="0067075A" w:rsidRDefault="002D57FA" w:rsidP="00775F6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075A">
        <w:rPr>
          <w:rFonts w:ascii="Times New Roman" w:hAnsi="Times New Roman"/>
          <w:color w:val="000000"/>
          <w:sz w:val="24"/>
          <w:szCs w:val="24"/>
          <w:lang w:eastAsia="ru-RU"/>
        </w:rPr>
        <w:t>По 3 контурные ячейковые упаковки вместе с инструкцией по медицинскому применению на казахском и русском языках вкладывают в пачку из картона.</w:t>
      </w:r>
      <w:bookmarkEnd w:id="25"/>
      <w:bookmarkEnd w:id="26"/>
    </w:p>
    <w:p w14:paraId="14B61D66" w14:textId="77777777" w:rsidR="00B90A1E" w:rsidRPr="0067075A" w:rsidRDefault="00B90A1E" w:rsidP="00775F6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075A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6.6 </w:t>
      </w:r>
      <w:r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67075A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299281A3" w14:textId="77777777" w:rsidR="004349B9" w:rsidRPr="0067075A" w:rsidRDefault="001D2064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075A">
        <w:rPr>
          <w:rFonts w:ascii="Times New Roman" w:hAnsi="Times New Roman"/>
          <w:sz w:val="24"/>
          <w:szCs w:val="24"/>
        </w:rPr>
        <w:t>Утилизировать в соответствии с требованиями.</w:t>
      </w:r>
      <w:r w:rsidR="00EC480E" w:rsidRPr="0067075A">
        <w:rPr>
          <w:rFonts w:ascii="Times New Roman" w:hAnsi="Times New Roman"/>
          <w:sz w:val="24"/>
          <w:szCs w:val="24"/>
        </w:rPr>
        <w:t xml:space="preserve"> </w:t>
      </w:r>
    </w:p>
    <w:p w14:paraId="74840ACD" w14:textId="77777777" w:rsidR="00724DB0" w:rsidRPr="0067075A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075A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67075A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67075A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67075A">
        <w:rPr>
          <w:rFonts w:ascii="Times New Roman" w:hAnsi="Times New Roman"/>
          <w:b/>
          <w:bCs/>
          <w:sz w:val="24"/>
          <w:szCs w:val="24"/>
        </w:rPr>
        <w:t>а</w:t>
      </w:r>
      <w:r w:rsidRPr="0067075A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67075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89F4A58" w14:textId="77777777" w:rsidR="004200EA" w:rsidRPr="0067075A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7075A">
        <w:rPr>
          <w:rFonts w:ascii="Times New Roman" w:hAnsi="Times New Roman"/>
          <w:bCs/>
          <w:sz w:val="24"/>
          <w:szCs w:val="24"/>
        </w:rPr>
        <w:t>По рецепту</w:t>
      </w:r>
    </w:p>
    <w:p w14:paraId="61F3CCC9" w14:textId="77777777" w:rsidR="00D041C3" w:rsidRPr="0067075A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D2E8F5" w14:textId="77777777" w:rsidR="00180A7E" w:rsidRDefault="00180A7E" w:rsidP="00180A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" w:name="_Hlk195265716"/>
      <w:r>
        <w:rPr>
          <w:rFonts w:ascii="Times New Roman" w:hAnsi="Times New Roman"/>
          <w:b/>
          <w:bCs/>
          <w:sz w:val="24"/>
          <w:szCs w:val="24"/>
        </w:rPr>
        <w:t>7. ДЕРЖАТЕЛЬ РЕГИСТРАЦИОННОГО УДОСТОВЕРЕНИЯ</w:t>
      </w:r>
    </w:p>
    <w:p w14:paraId="543FDA57" w14:textId="77777777" w:rsidR="00180A7E" w:rsidRDefault="00180A7E" w:rsidP="00180A7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28" w:name="_Hlk189917254"/>
      <w:bookmarkStart w:id="29" w:name="_Hlk159833531"/>
      <w:r>
        <w:rPr>
          <w:rFonts w:ascii="Times New Roman" w:hAnsi="Times New Roman"/>
          <w:bCs/>
          <w:iCs/>
          <w:sz w:val="24"/>
          <w:szCs w:val="24"/>
          <w:lang w:val="en-US"/>
        </w:rPr>
        <w:t>Aurobindo</w:t>
      </w:r>
      <w:r w:rsidRPr="00180A7E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Pharma</w:t>
      </w:r>
      <w:r w:rsidRPr="00180A7E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Limited</w:t>
      </w:r>
      <w:r>
        <w:rPr>
          <w:rFonts w:ascii="Times New Roman" w:hAnsi="Times New Roman"/>
          <w:bCs/>
          <w:iCs/>
          <w:sz w:val="24"/>
          <w:szCs w:val="24"/>
        </w:rPr>
        <w:t>,</w:t>
      </w:r>
    </w:p>
    <w:p w14:paraId="30A8258E" w14:textId="77777777" w:rsidR="00180A7E" w:rsidRDefault="00180A7E" w:rsidP="00180A7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Plot No. 2,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en-US"/>
        </w:rPr>
        <w:t>Maitrivihar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, Ameerpet, </w:t>
      </w:r>
    </w:p>
    <w:p w14:paraId="3DB58C48" w14:textId="77777777" w:rsidR="00180A7E" w:rsidRDefault="00180A7E" w:rsidP="00180A7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bCs/>
          <w:iCs/>
          <w:sz w:val="24"/>
          <w:szCs w:val="24"/>
          <w:lang w:val="en-US"/>
        </w:rPr>
        <w:t>Hyderabad/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en-US"/>
        </w:rPr>
        <w:t>Хайдерабад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 - 500 038, Telangana</w:t>
      </w:r>
      <w:bookmarkEnd w:id="28"/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>Индия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</w:p>
    <w:bookmarkEnd w:id="29"/>
    <w:p w14:paraId="78D37BDF" w14:textId="77777777" w:rsidR="00180A7E" w:rsidRDefault="00180A7E" w:rsidP="00180A7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</w:p>
    <w:p w14:paraId="6444126B" w14:textId="77777777" w:rsidR="00180A7E" w:rsidRDefault="00180A7E" w:rsidP="00180A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" w:name="_Hlk195265287"/>
      <w:r>
        <w:rPr>
          <w:rFonts w:ascii="Times New Roman" w:hAnsi="Times New Roman"/>
          <w:b/>
          <w:bCs/>
          <w:iCs/>
          <w:sz w:val="24"/>
          <w:szCs w:val="24"/>
        </w:rPr>
        <w:t>7.1. ПРЕДСТАВИТЕЛЬ ДЕРЖАТЕЛЯ РЕГИСТРАЦИОННОГО УДОСТОВЕРЕНИЯ</w:t>
      </w:r>
    </w:p>
    <w:p w14:paraId="22838F2E" w14:textId="77777777" w:rsidR="00180A7E" w:rsidRDefault="00180A7E" w:rsidP="00180A7E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>
        <w:rPr>
          <w:rFonts w:eastAsia="Microsoft Sans Serif"/>
          <w:lang w:bidi="ru-RU"/>
        </w:rPr>
        <w:t>Претензии потребителей направлять по адресу:</w:t>
      </w:r>
    </w:p>
    <w:p w14:paraId="2C18984D" w14:textId="77777777" w:rsidR="00180A7E" w:rsidRDefault="00180A7E" w:rsidP="00180A7E">
      <w:pPr>
        <w:spacing w:after="0" w:line="240" w:lineRule="auto"/>
        <w:ind w:right="283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31" w:name="_Hlk159833566"/>
      <w:r>
        <w:rPr>
          <w:rFonts w:ascii="Times New Roman" w:hAnsi="Times New Roman"/>
          <w:bCs/>
          <w:iCs/>
          <w:sz w:val="24"/>
          <w:szCs w:val="24"/>
        </w:rPr>
        <w:t>ТОО “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LEKARSTVENNAYA</w:t>
      </w:r>
      <w:r w:rsidRPr="00180A7E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BEZOPASNOST</w:t>
      </w:r>
      <w:r>
        <w:rPr>
          <w:rFonts w:ascii="Times New Roman" w:hAnsi="Times New Roman"/>
          <w:bCs/>
          <w:iCs/>
          <w:sz w:val="24"/>
          <w:szCs w:val="24"/>
        </w:rPr>
        <w:t>” (Лекарственная безопасность)</w:t>
      </w:r>
    </w:p>
    <w:p w14:paraId="46978B7A" w14:textId="77777777" w:rsidR="00180A7E" w:rsidRDefault="00180A7E" w:rsidP="00180A7E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050047, Казахстан, город Алматы, Алатауский район, микрорайон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Саялы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 д.16, кв.8.</w:t>
      </w:r>
    </w:p>
    <w:p w14:paraId="3ECEA86E" w14:textId="77777777" w:rsidR="00180A7E" w:rsidRDefault="00180A7E" w:rsidP="00180A7E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bCs/>
          <w:iCs/>
          <w:sz w:val="24"/>
          <w:szCs w:val="24"/>
        </w:rPr>
        <w:t>Тел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.: +7 777 064 27 02, +7 499 504-15-19, </w:t>
      </w:r>
    </w:p>
    <w:p w14:paraId="19204706" w14:textId="77777777" w:rsidR="00180A7E" w:rsidRPr="00180A7E" w:rsidRDefault="00180A7E" w:rsidP="00180A7E">
      <w:pPr>
        <w:spacing w:after="0" w:line="240" w:lineRule="auto"/>
        <w:ind w:right="283"/>
        <w:jc w:val="both"/>
        <w:rPr>
          <w:rStyle w:val="af"/>
          <w:lang w:val="en-US"/>
        </w:rPr>
      </w:pPr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e-mail: </w:t>
      </w:r>
      <w:hyperlink r:id="rId9" w:history="1">
        <w:r>
          <w:rPr>
            <w:rStyle w:val="af"/>
            <w:rFonts w:ascii="Times New Roman" w:hAnsi="Times New Roman"/>
            <w:iCs/>
            <w:sz w:val="24"/>
            <w:szCs w:val="24"/>
            <w:lang w:val="en-US"/>
          </w:rPr>
          <w:t>adversereaction@drugsafety.ru</w:t>
        </w:r>
      </w:hyperlink>
      <w:bookmarkEnd w:id="27"/>
      <w:bookmarkEnd w:id="30"/>
      <w:bookmarkEnd w:id="31"/>
    </w:p>
    <w:p w14:paraId="6FB1261F" w14:textId="77777777" w:rsidR="00E34BBF" w:rsidRPr="00E34BBF" w:rsidRDefault="00E34BBF" w:rsidP="00E34BB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61DC8548" w14:textId="77777777" w:rsidR="002511DF" w:rsidRPr="0067075A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8. 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НОМЕР</w:t>
      </w:r>
      <w:r w:rsidRPr="0067075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РЕГИСТРАЦИОННОГО</w:t>
      </w:r>
      <w:r w:rsidRPr="0067075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УДОСТОВЕРЕНИЯ</w:t>
      </w:r>
    </w:p>
    <w:p w14:paraId="63F215E3" w14:textId="5F531D5C" w:rsidR="006F49A6" w:rsidRPr="00091CCB" w:rsidRDefault="00091CC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91CCB">
        <w:rPr>
          <w:rFonts w:ascii="Times New Roman" w:eastAsia="Times New Roman" w:hAnsi="Times New Roman"/>
          <w:bCs/>
          <w:sz w:val="24"/>
          <w:szCs w:val="24"/>
          <w:lang w:eastAsia="ru-RU"/>
        </w:rPr>
        <w:t>РК-ЛС-5№025127</w:t>
      </w:r>
    </w:p>
    <w:p w14:paraId="593E9389" w14:textId="77777777" w:rsidR="00215CBB" w:rsidRPr="0067075A" w:rsidRDefault="00215CB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0AEC217" w14:textId="77777777" w:rsidR="002511DF" w:rsidRPr="0067075A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75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ДАТА</w:t>
      </w:r>
      <w:r w:rsidRPr="0067075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ПЕРВИЧНОЙ</w:t>
      </w:r>
      <w:r w:rsidRPr="0067075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67075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ПОДТВЕРЖДЕНИЯ</w:t>
      </w:r>
      <w:r w:rsidRPr="0067075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67075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67075A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ПЕРЕРЕГИСТРАЦИИ</w:t>
      </w:r>
      <w:r w:rsidRPr="0067075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14:paraId="5B58C598" w14:textId="3508DA4C" w:rsidR="006F49A6" w:rsidRPr="005F647A" w:rsidRDefault="00091CC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091CC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10.08.202</w:t>
      </w:r>
      <w:r w:rsidR="005F647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</w:t>
      </w:r>
    </w:p>
    <w:p w14:paraId="77A13EDE" w14:textId="77777777" w:rsidR="00B91443" w:rsidRPr="0067075A" w:rsidRDefault="00B91443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7FF5C501" w14:textId="77777777" w:rsidR="00DF47EB" w:rsidRPr="0067075A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67075A">
        <w:rPr>
          <w:rFonts w:ascii="Times New Roman" w:hAnsi="Times New Roman"/>
          <w:b/>
          <w:sz w:val="24"/>
          <w:szCs w:val="24"/>
        </w:rPr>
        <w:t xml:space="preserve">10. </w:t>
      </w:r>
      <w:r w:rsidRPr="0067075A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1293A908" w14:textId="1B2228EC" w:rsidR="006F49A6" w:rsidRPr="000D3886" w:rsidRDefault="000D3886" w:rsidP="00B91443">
      <w:pPr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</w:rPr>
      </w:pPr>
      <w:r w:rsidRPr="000D3886">
        <w:rPr>
          <w:rFonts w:ascii="Times New Roman" w:hAnsi="Times New Roman"/>
          <w:bCs/>
          <w:caps/>
          <w:sz w:val="24"/>
          <w:szCs w:val="24"/>
        </w:rPr>
        <w:t>05.08.2025</w:t>
      </w:r>
    </w:p>
    <w:p w14:paraId="0888B935" w14:textId="77777777" w:rsidR="000D3886" w:rsidRPr="0067075A" w:rsidRDefault="000D3886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45C86083" w14:textId="77777777" w:rsidR="00B91443" w:rsidRPr="00576DF6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  <w:r w:rsidRPr="0067075A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0" w:history="1">
        <w:r w:rsidRPr="0067075A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67075A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67075A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67075A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67075A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67075A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67075A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576DF6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576DF6" w:rsidSect="00F97B57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A3DF" w14:textId="77777777" w:rsidR="007C5732" w:rsidRDefault="007C5732" w:rsidP="00D275FC">
      <w:pPr>
        <w:spacing w:after="0" w:line="240" w:lineRule="auto"/>
      </w:pPr>
      <w:r>
        <w:separator/>
      </w:r>
    </w:p>
  </w:endnote>
  <w:endnote w:type="continuationSeparator" w:id="0">
    <w:p w14:paraId="36D34EFD" w14:textId="77777777" w:rsidR="007C5732" w:rsidRDefault="007C5732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2D96" w14:textId="77777777" w:rsidR="007C5732" w:rsidRDefault="007C5732" w:rsidP="00D275FC">
      <w:pPr>
        <w:spacing w:after="0" w:line="240" w:lineRule="auto"/>
      </w:pPr>
      <w:r>
        <w:separator/>
      </w:r>
    </w:p>
  </w:footnote>
  <w:footnote w:type="continuationSeparator" w:id="0">
    <w:p w14:paraId="525ECE69" w14:textId="77777777" w:rsidR="007C5732" w:rsidRDefault="007C5732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FBA2" w14:textId="77777777" w:rsidR="00655786" w:rsidRDefault="00F97E10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A00E25" wp14:editId="534B97C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0999C3" w14:textId="77777777" w:rsidR="00655786" w:rsidRPr="00D275FC" w:rsidRDefault="00655786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00E25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160999C3" w14:textId="77777777" w:rsidR="00655786" w:rsidRPr="00D275FC" w:rsidRDefault="00655786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alt="Описание: Description: BT_1000x858px" style="width:16.2pt;height:13.2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10371"/>
    <w:rsid w:val="00015C4C"/>
    <w:rsid w:val="0002049D"/>
    <w:rsid w:val="000210FC"/>
    <w:rsid w:val="000264BB"/>
    <w:rsid w:val="00026A9C"/>
    <w:rsid w:val="00033FC1"/>
    <w:rsid w:val="000357C1"/>
    <w:rsid w:val="00036E2A"/>
    <w:rsid w:val="00042999"/>
    <w:rsid w:val="0005238D"/>
    <w:rsid w:val="000541C4"/>
    <w:rsid w:val="000664D0"/>
    <w:rsid w:val="00077D6A"/>
    <w:rsid w:val="000852A1"/>
    <w:rsid w:val="00091CCB"/>
    <w:rsid w:val="00094791"/>
    <w:rsid w:val="000972E6"/>
    <w:rsid w:val="000A0D71"/>
    <w:rsid w:val="000A15B0"/>
    <w:rsid w:val="000A272B"/>
    <w:rsid w:val="000B3546"/>
    <w:rsid w:val="000C2C4B"/>
    <w:rsid w:val="000C3EBE"/>
    <w:rsid w:val="000C4C48"/>
    <w:rsid w:val="000D184E"/>
    <w:rsid w:val="000D3886"/>
    <w:rsid w:val="000D457D"/>
    <w:rsid w:val="000E01AB"/>
    <w:rsid w:val="000E153C"/>
    <w:rsid w:val="000E3634"/>
    <w:rsid w:val="000E49F0"/>
    <w:rsid w:val="000E6126"/>
    <w:rsid w:val="000F04CE"/>
    <w:rsid w:val="000F55E6"/>
    <w:rsid w:val="000F6613"/>
    <w:rsid w:val="000F7A53"/>
    <w:rsid w:val="00100406"/>
    <w:rsid w:val="00102E9C"/>
    <w:rsid w:val="00104C18"/>
    <w:rsid w:val="00107A8A"/>
    <w:rsid w:val="00111788"/>
    <w:rsid w:val="00113E2F"/>
    <w:rsid w:val="0012055F"/>
    <w:rsid w:val="00120934"/>
    <w:rsid w:val="001225CD"/>
    <w:rsid w:val="00123B06"/>
    <w:rsid w:val="00123DB5"/>
    <w:rsid w:val="00123F6A"/>
    <w:rsid w:val="00124A8D"/>
    <w:rsid w:val="00125232"/>
    <w:rsid w:val="00132B9A"/>
    <w:rsid w:val="00135234"/>
    <w:rsid w:val="001368AE"/>
    <w:rsid w:val="00137D48"/>
    <w:rsid w:val="00144CCD"/>
    <w:rsid w:val="00145E30"/>
    <w:rsid w:val="001465A2"/>
    <w:rsid w:val="0014699B"/>
    <w:rsid w:val="0014739A"/>
    <w:rsid w:val="0015490C"/>
    <w:rsid w:val="0015545F"/>
    <w:rsid w:val="001573E2"/>
    <w:rsid w:val="00161A10"/>
    <w:rsid w:val="0016278D"/>
    <w:rsid w:val="00163F07"/>
    <w:rsid w:val="00164E5D"/>
    <w:rsid w:val="00176B93"/>
    <w:rsid w:val="00177962"/>
    <w:rsid w:val="00180A7E"/>
    <w:rsid w:val="001872CE"/>
    <w:rsid w:val="00187ED1"/>
    <w:rsid w:val="001937AD"/>
    <w:rsid w:val="001A2CB2"/>
    <w:rsid w:val="001A3A84"/>
    <w:rsid w:val="001B240D"/>
    <w:rsid w:val="001B6AEC"/>
    <w:rsid w:val="001C1E7E"/>
    <w:rsid w:val="001D0B84"/>
    <w:rsid w:val="001D2064"/>
    <w:rsid w:val="001D4E2E"/>
    <w:rsid w:val="001E5E2A"/>
    <w:rsid w:val="001E6427"/>
    <w:rsid w:val="001E6F4C"/>
    <w:rsid w:val="001F05D0"/>
    <w:rsid w:val="001F16AA"/>
    <w:rsid w:val="00200F3B"/>
    <w:rsid w:val="002030AD"/>
    <w:rsid w:val="00203355"/>
    <w:rsid w:val="0020414E"/>
    <w:rsid w:val="00205268"/>
    <w:rsid w:val="002052DC"/>
    <w:rsid w:val="002107EA"/>
    <w:rsid w:val="00211005"/>
    <w:rsid w:val="0021309A"/>
    <w:rsid w:val="00215CBB"/>
    <w:rsid w:val="00215EE2"/>
    <w:rsid w:val="00217ABC"/>
    <w:rsid w:val="00217D41"/>
    <w:rsid w:val="002222A9"/>
    <w:rsid w:val="00222CA6"/>
    <w:rsid w:val="00232642"/>
    <w:rsid w:val="00237697"/>
    <w:rsid w:val="002410EA"/>
    <w:rsid w:val="00244806"/>
    <w:rsid w:val="002454AA"/>
    <w:rsid w:val="002472E3"/>
    <w:rsid w:val="00250EDB"/>
    <w:rsid w:val="002511DF"/>
    <w:rsid w:val="00253209"/>
    <w:rsid w:val="00256E10"/>
    <w:rsid w:val="00260413"/>
    <w:rsid w:val="00260EBC"/>
    <w:rsid w:val="00264710"/>
    <w:rsid w:val="00264A6E"/>
    <w:rsid w:val="00267567"/>
    <w:rsid w:val="00270B0A"/>
    <w:rsid w:val="00280121"/>
    <w:rsid w:val="00281FBE"/>
    <w:rsid w:val="002843C5"/>
    <w:rsid w:val="00284941"/>
    <w:rsid w:val="00290D2E"/>
    <w:rsid w:val="00292715"/>
    <w:rsid w:val="002A591C"/>
    <w:rsid w:val="002C10E1"/>
    <w:rsid w:val="002C15EB"/>
    <w:rsid w:val="002C1660"/>
    <w:rsid w:val="002C35A2"/>
    <w:rsid w:val="002C5345"/>
    <w:rsid w:val="002D3158"/>
    <w:rsid w:val="002D56B7"/>
    <w:rsid w:val="002D57FA"/>
    <w:rsid w:val="002E04B7"/>
    <w:rsid w:val="002E0BAD"/>
    <w:rsid w:val="002E1D28"/>
    <w:rsid w:val="002F4A14"/>
    <w:rsid w:val="003043BF"/>
    <w:rsid w:val="00305795"/>
    <w:rsid w:val="00320073"/>
    <w:rsid w:val="00320596"/>
    <w:rsid w:val="003262DF"/>
    <w:rsid w:val="00332951"/>
    <w:rsid w:val="00332A75"/>
    <w:rsid w:val="0034290C"/>
    <w:rsid w:val="003443D7"/>
    <w:rsid w:val="0034682B"/>
    <w:rsid w:val="00356237"/>
    <w:rsid w:val="0036288F"/>
    <w:rsid w:val="00365B10"/>
    <w:rsid w:val="00367BA7"/>
    <w:rsid w:val="00372082"/>
    <w:rsid w:val="003761C0"/>
    <w:rsid w:val="0037623F"/>
    <w:rsid w:val="00381140"/>
    <w:rsid w:val="003812B2"/>
    <w:rsid w:val="00383CDB"/>
    <w:rsid w:val="00384EFD"/>
    <w:rsid w:val="0038595A"/>
    <w:rsid w:val="003879F9"/>
    <w:rsid w:val="003976C7"/>
    <w:rsid w:val="003A035E"/>
    <w:rsid w:val="003A577F"/>
    <w:rsid w:val="003B0285"/>
    <w:rsid w:val="003B6880"/>
    <w:rsid w:val="003C07E3"/>
    <w:rsid w:val="003C659E"/>
    <w:rsid w:val="003D7780"/>
    <w:rsid w:val="003E13CF"/>
    <w:rsid w:val="003E4E7F"/>
    <w:rsid w:val="003E4F5E"/>
    <w:rsid w:val="003F5344"/>
    <w:rsid w:val="003F7EDC"/>
    <w:rsid w:val="00404548"/>
    <w:rsid w:val="0041162E"/>
    <w:rsid w:val="004125D8"/>
    <w:rsid w:val="00416507"/>
    <w:rsid w:val="004179E3"/>
    <w:rsid w:val="004200EA"/>
    <w:rsid w:val="0042786D"/>
    <w:rsid w:val="00433C62"/>
    <w:rsid w:val="004349B9"/>
    <w:rsid w:val="00437360"/>
    <w:rsid w:val="0044142E"/>
    <w:rsid w:val="004528E1"/>
    <w:rsid w:val="004541AC"/>
    <w:rsid w:val="004567A4"/>
    <w:rsid w:val="00456F01"/>
    <w:rsid w:val="0046794E"/>
    <w:rsid w:val="00472EF5"/>
    <w:rsid w:val="0048687C"/>
    <w:rsid w:val="0049318D"/>
    <w:rsid w:val="004A31B4"/>
    <w:rsid w:val="004A51A2"/>
    <w:rsid w:val="004A6599"/>
    <w:rsid w:val="004A7038"/>
    <w:rsid w:val="004B6BD3"/>
    <w:rsid w:val="004B70C0"/>
    <w:rsid w:val="004C1861"/>
    <w:rsid w:val="004C1922"/>
    <w:rsid w:val="004C462F"/>
    <w:rsid w:val="004C6613"/>
    <w:rsid w:val="004D49E9"/>
    <w:rsid w:val="004E6E22"/>
    <w:rsid w:val="004F45AC"/>
    <w:rsid w:val="004F7B53"/>
    <w:rsid w:val="00500041"/>
    <w:rsid w:val="00501657"/>
    <w:rsid w:val="00506C9D"/>
    <w:rsid w:val="005071DA"/>
    <w:rsid w:val="00523D82"/>
    <w:rsid w:val="00534317"/>
    <w:rsid w:val="00536389"/>
    <w:rsid w:val="00541A00"/>
    <w:rsid w:val="005444B2"/>
    <w:rsid w:val="005448A0"/>
    <w:rsid w:val="00546ED7"/>
    <w:rsid w:val="00552F31"/>
    <w:rsid w:val="00552F8B"/>
    <w:rsid w:val="00561FE7"/>
    <w:rsid w:val="00563BA9"/>
    <w:rsid w:val="00566737"/>
    <w:rsid w:val="00567153"/>
    <w:rsid w:val="00575348"/>
    <w:rsid w:val="00576341"/>
    <w:rsid w:val="00576DF6"/>
    <w:rsid w:val="0058065B"/>
    <w:rsid w:val="005816A6"/>
    <w:rsid w:val="00584C22"/>
    <w:rsid w:val="005869C5"/>
    <w:rsid w:val="005872B7"/>
    <w:rsid w:val="005921EA"/>
    <w:rsid w:val="005924F5"/>
    <w:rsid w:val="00593F7B"/>
    <w:rsid w:val="00594FAB"/>
    <w:rsid w:val="005978A5"/>
    <w:rsid w:val="005A1630"/>
    <w:rsid w:val="005A3C81"/>
    <w:rsid w:val="005A5680"/>
    <w:rsid w:val="005A6639"/>
    <w:rsid w:val="005A6914"/>
    <w:rsid w:val="005B081E"/>
    <w:rsid w:val="005B3FFE"/>
    <w:rsid w:val="005C0A4F"/>
    <w:rsid w:val="005C1519"/>
    <w:rsid w:val="005C1C4E"/>
    <w:rsid w:val="005C2CD2"/>
    <w:rsid w:val="005C4994"/>
    <w:rsid w:val="005C4A16"/>
    <w:rsid w:val="005C7D61"/>
    <w:rsid w:val="005D35F9"/>
    <w:rsid w:val="005D66CE"/>
    <w:rsid w:val="005D66F3"/>
    <w:rsid w:val="005D68C6"/>
    <w:rsid w:val="005D7EE3"/>
    <w:rsid w:val="005E2548"/>
    <w:rsid w:val="005E2CF9"/>
    <w:rsid w:val="005E50DE"/>
    <w:rsid w:val="005E7569"/>
    <w:rsid w:val="005E76DA"/>
    <w:rsid w:val="005F647A"/>
    <w:rsid w:val="005F7097"/>
    <w:rsid w:val="0060284B"/>
    <w:rsid w:val="00603072"/>
    <w:rsid w:val="0060364A"/>
    <w:rsid w:val="00604BEC"/>
    <w:rsid w:val="00604FC8"/>
    <w:rsid w:val="00605194"/>
    <w:rsid w:val="00614271"/>
    <w:rsid w:val="00615318"/>
    <w:rsid w:val="00617843"/>
    <w:rsid w:val="00620E94"/>
    <w:rsid w:val="00620F34"/>
    <w:rsid w:val="00623510"/>
    <w:rsid w:val="00624C1B"/>
    <w:rsid w:val="00625471"/>
    <w:rsid w:val="0062661D"/>
    <w:rsid w:val="00627853"/>
    <w:rsid w:val="00630B0D"/>
    <w:rsid w:val="006310A1"/>
    <w:rsid w:val="00632571"/>
    <w:rsid w:val="00634D0C"/>
    <w:rsid w:val="00635E09"/>
    <w:rsid w:val="0065148D"/>
    <w:rsid w:val="0065283D"/>
    <w:rsid w:val="00652BCE"/>
    <w:rsid w:val="00652E29"/>
    <w:rsid w:val="00653617"/>
    <w:rsid w:val="00655786"/>
    <w:rsid w:val="00665315"/>
    <w:rsid w:val="00666B42"/>
    <w:rsid w:val="0067075A"/>
    <w:rsid w:val="0067136B"/>
    <w:rsid w:val="006865B1"/>
    <w:rsid w:val="00691208"/>
    <w:rsid w:val="00691F9B"/>
    <w:rsid w:val="006A23C4"/>
    <w:rsid w:val="006A702E"/>
    <w:rsid w:val="006B12FD"/>
    <w:rsid w:val="006B1751"/>
    <w:rsid w:val="006B3F4A"/>
    <w:rsid w:val="006B7A90"/>
    <w:rsid w:val="006C5F38"/>
    <w:rsid w:val="006D5986"/>
    <w:rsid w:val="006D5ACA"/>
    <w:rsid w:val="006D6013"/>
    <w:rsid w:val="006D7D5A"/>
    <w:rsid w:val="006E09AF"/>
    <w:rsid w:val="006E4305"/>
    <w:rsid w:val="006F0911"/>
    <w:rsid w:val="006F3A58"/>
    <w:rsid w:val="006F49A6"/>
    <w:rsid w:val="006F5763"/>
    <w:rsid w:val="00704BAB"/>
    <w:rsid w:val="007104D1"/>
    <w:rsid w:val="007135A6"/>
    <w:rsid w:val="00724DB0"/>
    <w:rsid w:val="00725BD2"/>
    <w:rsid w:val="00726BD3"/>
    <w:rsid w:val="00730461"/>
    <w:rsid w:val="00733A73"/>
    <w:rsid w:val="00743ED0"/>
    <w:rsid w:val="007457CD"/>
    <w:rsid w:val="00746FF2"/>
    <w:rsid w:val="007479AE"/>
    <w:rsid w:val="00750656"/>
    <w:rsid w:val="00750994"/>
    <w:rsid w:val="007544F0"/>
    <w:rsid w:val="00760906"/>
    <w:rsid w:val="00761133"/>
    <w:rsid w:val="00761C8F"/>
    <w:rsid w:val="00764E84"/>
    <w:rsid w:val="0077269D"/>
    <w:rsid w:val="00772FEF"/>
    <w:rsid w:val="00775F6E"/>
    <w:rsid w:val="007762F8"/>
    <w:rsid w:val="00783520"/>
    <w:rsid w:val="0078568D"/>
    <w:rsid w:val="007A02D3"/>
    <w:rsid w:val="007A18B1"/>
    <w:rsid w:val="007A2DB6"/>
    <w:rsid w:val="007A3C32"/>
    <w:rsid w:val="007B011E"/>
    <w:rsid w:val="007C055A"/>
    <w:rsid w:val="007C1693"/>
    <w:rsid w:val="007C1F6D"/>
    <w:rsid w:val="007C5732"/>
    <w:rsid w:val="007D0215"/>
    <w:rsid w:val="007D0E84"/>
    <w:rsid w:val="007D3AA5"/>
    <w:rsid w:val="007D47C9"/>
    <w:rsid w:val="007D681B"/>
    <w:rsid w:val="007E1D85"/>
    <w:rsid w:val="007F60CB"/>
    <w:rsid w:val="00803517"/>
    <w:rsid w:val="00804A48"/>
    <w:rsid w:val="008106A7"/>
    <w:rsid w:val="0081154A"/>
    <w:rsid w:val="00814DFC"/>
    <w:rsid w:val="00820B36"/>
    <w:rsid w:val="00821A79"/>
    <w:rsid w:val="00822205"/>
    <w:rsid w:val="00827BB2"/>
    <w:rsid w:val="008329DA"/>
    <w:rsid w:val="00832A7E"/>
    <w:rsid w:val="008330E7"/>
    <w:rsid w:val="008350BC"/>
    <w:rsid w:val="008353A4"/>
    <w:rsid w:val="008407EF"/>
    <w:rsid w:val="008418F5"/>
    <w:rsid w:val="008451C8"/>
    <w:rsid w:val="00846BE5"/>
    <w:rsid w:val="00847154"/>
    <w:rsid w:val="008548DB"/>
    <w:rsid w:val="00857EBB"/>
    <w:rsid w:val="00862FA8"/>
    <w:rsid w:val="00864E39"/>
    <w:rsid w:val="0086657B"/>
    <w:rsid w:val="0087104B"/>
    <w:rsid w:val="00880C1D"/>
    <w:rsid w:val="008832E5"/>
    <w:rsid w:val="008872AB"/>
    <w:rsid w:val="00891EB8"/>
    <w:rsid w:val="0089401D"/>
    <w:rsid w:val="00895628"/>
    <w:rsid w:val="00897669"/>
    <w:rsid w:val="008A0113"/>
    <w:rsid w:val="008C0181"/>
    <w:rsid w:val="008C47D6"/>
    <w:rsid w:val="008C6434"/>
    <w:rsid w:val="008D0B8D"/>
    <w:rsid w:val="008D4451"/>
    <w:rsid w:val="008D57F7"/>
    <w:rsid w:val="008D62B7"/>
    <w:rsid w:val="008E19AE"/>
    <w:rsid w:val="008E64D9"/>
    <w:rsid w:val="008E6895"/>
    <w:rsid w:val="008F0721"/>
    <w:rsid w:val="00900B3C"/>
    <w:rsid w:val="009014E4"/>
    <w:rsid w:val="009015DC"/>
    <w:rsid w:val="00904FB5"/>
    <w:rsid w:val="0091136C"/>
    <w:rsid w:val="009128A3"/>
    <w:rsid w:val="009263DC"/>
    <w:rsid w:val="0092696F"/>
    <w:rsid w:val="00930D7D"/>
    <w:rsid w:val="0095047E"/>
    <w:rsid w:val="00956101"/>
    <w:rsid w:val="00957BAF"/>
    <w:rsid w:val="00962CD6"/>
    <w:rsid w:val="0096469C"/>
    <w:rsid w:val="00966C5A"/>
    <w:rsid w:val="00974EE1"/>
    <w:rsid w:val="00980ED0"/>
    <w:rsid w:val="00982643"/>
    <w:rsid w:val="00985798"/>
    <w:rsid w:val="00985916"/>
    <w:rsid w:val="00986783"/>
    <w:rsid w:val="00993A60"/>
    <w:rsid w:val="00994B61"/>
    <w:rsid w:val="009A5BEA"/>
    <w:rsid w:val="009B014E"/>
    <w:rsid w:val="009B313E"/>
    <w:rsid w:val="009C2D01"/>
    <w:rsid w:val="009D67EC"/>
    <w:rsid w:val="009D71D5"/>
    <w:rsid w:val="009E2887"/>
    <w:rsid w:val="009E56D6"/>
    <w:rsid w:val="009E5CB9"/>
    <w:rsid w:val="009F07F5"/>
    <w:rsid w:val="009F1D83"/>
    <w:rsid w:val="009F22EA"/>
    <w:rsid w:val="009F31F2"/>
    <w:rsid w:val="009F3C7E"/>
    <w:rsid w:val="009F45A5"/>
    <w:rsid w:val="009F5A85"/>
    <w:rsid w:val="009F72B0"/>
    <w:rsid w:val="00A01C2E"/>
    <w:rsid w:val="00A02BB2"/>
    <w:rsid w:val="00A04052"/>
    <w:rsid w:val="00A0709E"/>
    <w:rsid w:val="00A074C5"/>
    <w:rsid w:val="00A07B7D"/>
    <w:rsid w:val="00A12563"/>
    <w:rsid w:val="00A2498C"/>
    <w:rsid w:val="00A26A0D"/>
    <w:rsid w:val="00A26BB4"/>
    <w:rsid w:val="00A27811"/>
    <w:rsid w:val="00A300B9"/>
    <w:rsid w:val="00A302E2"/>
    <w:rsid w:val="00A31019"/>
    <w:rsid w:val="00A65907"/>
    <w:rsid w:val="00A832D0"/>
    <w:rsid w:val="00A8360A"/>
    <w:rsid w:val="00A84EA1"/>
    <w:rsid w:val="00A94AE5"/>
    <w:rsid w:val="00AA4618"/>
    <w:rsid w:val="00AA5E2F"/>
    <w:rsid w:val="00AA7317"/>
    <w:rsid w:val="00AC2C0B"/>
    <w:rsid w:val="00AC4905"/>
    <w:rsid w:val="00AD55C1"/>
    <w:rsid w:val="00AE7922"/>
    <w:rsid w:val="00AF0305"/>
    <w:rsid w:val="00AF056B"/>
    <w:rsid w:val="00AF2EA3"/>
    <w:rsid w:val="00AF63F7"/>
    <w:rsid w:val="00AF7FBA"/>
    <w:rsid w:val="00B01011"/>
    <w:rsid w:val="00B0435E"/>
    <w:rsid w:val="00B05BD1"/>
    <w:rsid w:val="00B06AF9"/>
    <w:rsid w:val="00B06B7E"/>
    <w:rsid w:val="00B10089"/>
    <w:rsid w:val="00B21CF0"/>
    <w:rsid w:val="00B22E50"/>
    <w:rsid w:val="00B313B3"/>
    <w:rsid w:val="00B46F30"/>
    <w:rsid w:val="00B5613F"/>
    <w:rsid w:val="00B608C1"/>
    <w:rsid w:val="00B60D3D"/>
    <w:rsid w:val="00B61D95"/>
    <w:rsid w:val="00B6220C"/>
    <w:rsid w:val="00B70E82"/>
    <w:rsid w:val="00B7231F"/>
    <w:rsid w:val="00B75B6C"/>
    <w:rsid w:val="00B81992"/>
    <w:rsid w:val="00B90A1E"/>
    <w:rsid w:val="00B91443"/>
    <w:rsid w:val="00B9187F"/>
    <w:rsid w:val="00BA2BF3"/>
    <w:rsid w:val="00BB0919"/>
    <w:rsid w:val="00BB111F"/>
    <w:rsid w:val="00BB3050"/>
    <w:rsid w:val="00BB7831"/>
    <w:rsid w:val="00BC1E4B"/>
    <w:rsid w:val="00BC31BC"/>
    <w:rsid w:val="00BC5207"/>
    <w:rsid w:val="00BC6167"/>
    <w:rsid w:val="00BC6A01"/>
    <w:rsid w:val="00BE198F"/>
    <w:rsid w:val="00BE4435"/>
    <w:rsid w:val="00BE6B71"/>
    <w:rsid w:val="00BF5918"/>
    <w:rsid w:val="00C0362D"/>
    <w:rsid w:val="00C07BB3"/>
    <w:rsid w:val="00C153F2"/>
    <w:rsid w:val="00C2000E"/>
    <w:rsid w:val="00C24D7D"/>
    <w:rsid w:val="00C379C9"/>
    <w:rsid w:val="00C422B8"/>
    <w:rsid w:val="00C566D6"/>
    <w:rsid w:val="00C57DB0"/>
    <w:rsid w:val="00C61A5A"/>
    <w:rsid w:val="00C67789"/>
    <w:rsid w:val="00C71E57"/>
    <w:rsid w:val="00C764D9"/>
    <w:rsid w:val="00C77910"/>
    <w:rsid w:val="00C77F19"/>
    <w:rsid w:val="00C805B4"/>
    <w:rsid w:val="00C839ED"/>
    <w:rsid w:val="00C84299"/>
    <w:rsid w:val="00C86798"/>
    <w:rsid w:val="00C92F14"/>
    <w:rsid w:val="00C94B98"/>
    <w:rsid w:val="00C97365"/>
    <w:rsid w:val="00CA4C1A"/>
    <w:rsid w:val="00CA7730"/>
    <w:rsid w:val="00CB5BF2"/>
    <w:rsid w:val="00CC08BA"/>
    <w:rsid w:val="00CC330A"/>
    <w:rsid w:val="00CC5727"/>
    <w:rsid w:val="00CC7DBD"/>
    <w:rsid w:val="00CD6935"/>
    <w:rsid w:val="00CE03ED"/>
    <w:rsid w:val="00CE7F7F"/>
    <w:rsid w:val="00CF3849"/>
    <w:rsid w:val="00D0233C"/>
    <w:rsid w:val="00D0253E"/>
    <w:rsid w:val="00D041C3"/>
    <w:rsid w:val="00D11462"/>
    <w:rsid w:val="00D11CF9"/>
    <w:rsid w:val="00D14D61"/>
    <w:rsid w:val="00D202D2"/>
    <w:rsid w:val="00D22A47"/>
    <w:rsid w:val="00D25CB4"/>
    <w:rsid w:val="00D26475"/>
    <w:rsid w:val="00D275FC"/>
    <w:rsid w:val="00D3279D"/>
    <w:rsid w:val="00D3576E"/>
    <w:rsid w:val="00D43297"/>
    <w:rsid w:val="00D46B0B"/>
    <w:rsid w:val="00D5337A"/>
    <w:rsid w:val="00D55ED8"/>
    <w:rsid w:val="00D60C5A"/>
    <w:rsid w:val="00D674CA"/>
    <w:rsid w:val="00D70D45"/>
    <w:rsid w:val="00D70DB6"/>
    <w:rsid w:val="00D723BC"/>
    <w:rsid w:val="00D76048"/>
    <w:rsid w:val="00D77A4C"/>
    <w:rsid w:val="00D93C80"/>
    <w:rsid w:val="00D9686A"/>
    <w:rsid w:val="00D96A8F"/>
    <w:rsid w:val="00DA10AF"/>
    <w:rsid w:val="00DA16F7"/>
    <w:rsid w:val="00DB0492"/>
    <w:rsid w:val="00DB0CE0"/>
    <w:rsid w:val="00DB406A"/>
    <w:rsid w:val="00DB7FB0"/>
    <w:rsid w:val="00DD5E3A"/>
    <w:rsid w:val="00DE4FC7"/>
    <w:rsid w:val="00DE5F6E"/>
    <w:rsid w:val="00DF11A7"/>
    <w:rsid w:val="00DF3381"/>
    <w:rsid w:val="00DF47EB"/>
    <w:rsid w:val="00E1469C"/>
    <w:rsid w:val="00E20752"/>
    <w:rsid w:val="00E211ED"/>
    <w:rsid w:val="00E271CB"/>
    <w:rsid w:val="00E301D0"/>
    <w:rsid w:val="00E317B2"/>
    <w:rsid w:val="00E33FE3"/>
    <w:rsid w:val="00E34BBF"/>
    <w:rsid w:val="00E34FE3"/>
    <w:rsid w:val="00E36147"/>
    <w:rsid w:val="00E40AE2"/>
    <w:rsid w:val="00E55D6C"/>
    <w:rsid w:val="00E57396"/>
    <w:rsid w:val="00E6241E"/>
    <w:rsid w:val="00E7446C"/>
    <w:rsid w:val="00E75FFF"/>
    <w:rsid w:val="00E81A1B"/>
    <w:rsid w:val="00E81A86"/>
    <w:rsid w:val="00E84146"/>
    <w:rsid w:val="00E85118"/>
    <w:rsid w:val="00E85A7A"/>
    <w:rsid w:val="00E8607B"/>
    <w:rsid w:val="00E91073"/>
    <w:rsid w:val="00E91D27"/>
    <w:rsid w:val="00E93583"/>
    <w:rsid w:val="00E955CE"/>
    <w:rsid w:val="00EA2F86"/>
    <w:rsid w:val="00EA303C"/>
    <w:rsid w:val="00EA5A3A"/>
    <w:rsid w:val="00EA6D39"/>
    <w:rsid w:val="00EB1D97"/>
    <w:rsid w:val="00EB32A3"/>
    <w:rsid w:val="00EB41C1"/>
    <w:rsid w:val="00EC0600"/>
    <w:rsid w:val="00EC369A"/>
    <w:rsid w:val="00EC480E"/>
    <w:rsid w:val="00EC4E42"/>
    <w:rsid w:val="00ED1D40"/>
    <w:rsid w:val="00EE04FB"/>
    <w:rsid w:val="00EF4654"/>
    <w:rsid w:val="00EF4C53"/>
    <w:rsid w:val="00F006F1"/>
    <w:rsid w:val="00F05540"/>
    <w:rsid w:val="00F07B7B"/>
    <w:rsid w:val="00F2151A"/>
    <w:rsid w:val="00F21C9B"/>
    <w:rsid w:val="00F23B95"/>
    <w:rsid w:val="00F2678B"/>
    <w:rsid w:val="00F34699"/>
    <w:rsid w:val="00F40388"/>
    <w:rsid w:val="00F42D3C"/>
    <w:rsid w:val="00F56F75"/>
    <w:rsid w:val="00F6012B"/>
    <w:rsid w:val="00F63389"/>
    <w:rsid w:val="00F665E0"/>
    <w:rsid w:val="00F721F4"/>
    <w:rsid w:val="00F81A9F"/>
    <w:rsid w:val="00F85441"/>
    <w:rsid w:val="00F8631E"/>
    <w:rsid w:val="00F90354"/>
    <w:rsid w:val="00F91977"/>
    <w:rsid w:val="00F937A6"/>
    <w:rsid w:val="00F97B57"/>
    <w:rsid w:val="00F97E10"/>
    <w:rsid w:val="00FA4C4A"/>
    <w:rsid w:val="00FA4F7C"/>
    <w:rsid w:val="00FA7288"/>
    <w:rsid w:val="00FB0456"/>
    <w:rsid w:val="00FB3F72"/>
    <w:rsid w:val="00FB47F4"/>
    <w:rsid w:val="00FB755E"/>
    <w:rsid w:val="00FC17F4"/>
    <w:rsid w:val="00FD2B12"/>
    <w:rsid w:val="00FD2B9F"/>
    <w:rsid w:val="00FD6FA9"/>
    <w:rsid w:val="00FE09A5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1E79"/>
  <w15:docId w15:val="{936AE1A7-ABB0-4E42-ABF7-F85FDE88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9C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semiHidden/>
    <w:unhideWhenUsed/>
    <w:rsid w:val="0043736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semiHidden/>
    <w:rsid w:val="00437360"/>
    <w:rPr>
      <w:rFonts w:ascii="Times New Roman" w:eastAsia="Times New Roman" w:hAnsi="Times New Roman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E34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19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0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dda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ersereaction@drugsafety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3FB07-E33A-467A-9609-8A5B239A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9353</Words>
  <Characters>53313</Characters>
  <Application>Microsoft Office Word</Application>
  <DocSecurity>0</DocSecurity>
  <Lines>444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62541</CharactersWithSpaces>
  <SharedDoc>false</SharedDoc>
  <HLinks>
    <vt:vector size="12" baseType="variant"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8</cp:revision>
  <cp:lastPrinted>2019-11-18T06:17:00Z</cp:lastPrinted>
  <dcterms:created xsi:type="dcterms:W3CDTF">2021-07-28T11:20:00Z</dcterms:created>
  <dcterms:modified xsi:type="dcterms:W3CDTF">2025-08-20T12:15:00Z</dcterms:modified>
</cp:coreProperties>
</file>